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w:t>
      </w:r>
      <w:bookmarkStart w:id="0" w:name="_GoBack"/>
      <w:bookmarkEnd w:id="0"/>
      <w:r w:rsidRPr="007A7AD3">
        <w:rPr>
          <w:b/>
          <w:bCs/>
          <w:sz w:val="23"/>
          <w:szCs w:val="23"/>
          <w:lang w:val="en-GB"/>
        </w:rPr>
        <w: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0420F123"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 of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7ECF83E8"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beneficiary</w:t>
      </w:r>
      <w:r w:rsidR="00F16BF1" w:rsidRPr="009F4127">
        <w:rPr>
          <w:sz w:val="24"/>
          <w:szCs w:val="24"/>
          <w:highlight w:val="yellow"/>
          <w:lang w:val="en-GB"/>
        </w:rPr>
        <w:t>]</w:t>
      </w:r>
    </w:p>
    <w:p w14:paraId="1A702394" w14:textId="7B329E05" w:rsidR="00E03E59" w:rsidRDefault="00E03E59" w:rsidP="00473043">
      <w:pPr>
        <w:spacing w:after="200"/>
        <w:rPr>
          <w:sz w:val="24"/>
          <w:szCs w:val="24"/>
          <w:lang w:val="en-GB"/>
        </w:rPr>
      </w:pPr>
      <w:r w:rsidRPr="00E03E59">
        <w:rPr>
          <w:sz w:val="24"/>
          <w:szCs w:val="24"/>
          <w:lang w:val="en-GB"/>
        </w:rPr>
        <w:t>Field:</w:t>
      </w:r>
      <w:r w:rsidR="0077396B">
        <w:rPr>
          <w:sz w:val="24"/>
          <w:szCs w:val="24"/>
          <w:lang w:val="en-GB"/>
        </w:rPr>
        <w:t xml:space="preserve"> </w:t>
      </w:r>
      <w:r w:rsidRPr="0077396B">
        <w:rPr>
          <w:sz w:val="24"/>
          <w:szCs w:val="24"/>
          <w:lang w:val="en-GB"/>
        </w:rPr>
        <w:t>Vocational education and training</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Overskrift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4A667328" w14:textId="77777777" w:rsidR="0077396B" w:rsidRDefault="0077396B" w:rsidP="005266B6">
      <w:pPr>
        <w:spacing w:after="120"/>
        <w:jc w:val="both"/>
        <w:rPr>
          <w:i/>
          <w:iCs/>
          <w:color w:val="4AA55B"/>
          <w:sz w:val="24"/>
          <w:szCs w:val="24"/>
          <w:lang w:val="en-US"/>
        </w:rPr>
      </w:pPr>
    </w:p>
    <w:p w14:paraId="664B564E" w14:textId="40A30E40" w:rsidR="00A90767" w:rsidRPr="00223FF3" w:rsidRDefault="3203A6D6" w:rsidP="005266B6">
      <w:pPr>
        <w:spacing w:after="120"/>
        <w:jc w:val="both"/>
        <w:rPr>
          <w:sz w:val="24"/>
          <w:szCs w:val="24"/>
          <w:lang w:val="en-GB"/>
        </w:rPr>
      </w:pPr>
      <w:r w:rsidRPr="29B9A96E">
        <w:rPr>
          <w:i/>
          <w:iCs/>
          <w:color w:val="4AA55B"/>
          <w:sz w:val="24"/>
          <w:szCs w:val="24"/>
          <w:lang w:val="en-US"/>
        </w:rPr>
        <w:lastRenderedPageBreak/>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dnotehenvisning"/>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Overskrift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Overskrift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eafsnit"/>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eafsnit"/>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eafsnit"/>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eafsnit"/>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Overskrift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77DC642E"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0077396B">
        <w:rPr>
          <w:sz w:val="24"/>
          <w:szCs w:val="24"/>
          <w:lang w:val="en-GB"/>
        </w:rPr>
        <w:t>2025</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w:t>
      </w:r>
      <w:r w:rsidRPr="29B9A96E">
        <w:rPr>
          <w:sz w:val="24"/>
          <w:szCs w:val="24"/>
          <w:highlight w:val="yellow"/>
          <w:lang w:val="en-GB"/>
        </w:rPr>
        <w:lastRenderedPageBreak/>
        <w:t xml:space="preserve">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21855CD7"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77396B">
        <w:rPr>
          <w:sz w:val="24"/>
          <w:szCs w:val="24"/>
          <w:lang w:val="en-GB"/>
        </w:rPr>
        <w:t>2025</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Overskrift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actually undertaken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Overskrift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4F6B5256" w:rsidRPr="29B9A96E">
        <w:rPr>
          <w:sz w:val="24"/>
          <w:szCs w:val="24"/>
          <w:highlight w:val="yellow"/>
          <w:lang w:val="en-GB"/>
        </w:rPr>
        <w:lastRenderedPageBreak/>
        <w:t>[</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144777A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 xml:space="preserve">In the case of </w:t>
      </w:r>
      <w:r w:rsidR="008B06BB" w:rsidRPr="00D816DD">
        <w:rPr>
          <w:sz w:val="24"/>
          <w:szCs w:val="24"/>
          <w:highlight w:val="yellow"/>
          <w:lang w:val="en-GB"/>
        </w:rPr>
        <w:lastRenderedPageBreak/>
        <w:t>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Overskrift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Overskrift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Overskrift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dnotehenvisning"/>
          <w:sz w:val="24"/>
          <w:szCs w:val="24"/>
          <w:vertAlign w:val="superscript"/>
          <w:lang w:val="en-GB"/>
        </w:rPr>
        <w:footnoteReference w:id="3"/>
      </w:r>
      <w:r w:rsidR="08B9D03C" w:rsidRPr="00D816DD">
        <w:rPr>
          <w:sz w:val="24"/>
          <w:szCs w:val="24"/>
          <w:lang w:val="en-GB"/>
        </w:rPr>
        <w:t xml:space="preserve"> </w:t>
      </w:r>
      <w:r w:rsidR="763AB1C1">
        <w:rPr>
          <w:sz w:val="24"/>
          <w:szCs w:val="24"/>
          <w:lang w:val="en-GB"/>
        </w:rPr>
        <w:t xml:space="preserve">and related national data </w:t>
      </w:r>
      <w:r w:rsidR="763AB1C1">
        <w:rPr>
          <w:sz w:val="24"/>
          <w:szCs w:val="24"/>
          <w:lang w:val="en-GB"/>
        </w:rPr>
        <w:lastRenderedPageBreak/>
        <w:t>protection acts and for the purposes set out in the Privacy Statement available at:</w:t>
      </w:r>
      <w:r w:rsidR="72A381E5">
        <w:rPr>
          <w:sz w:val="24"/>
          <w:szCs w:val="24"/>
          <w:lang w:val="en-GB"/>
        </w:rPr>
        <w:t xml:space="preserve"> </w:t>
      </w:r>
      <w:hyperlink r:id="rId11" w:history="1">
        <w:r w:rsidR="43B35142" w:rsidRPr="00CD3AF2">
          <w:rPr>
            <w:rStyle w:val="Hyperli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61A91F63" w14:textId="3335FB95" w:rsidR="00024F95" w:rsidRPr="00FE7F93" w:rsidRDefault="718E273B" w:rsidP="29B9A96E">
      <w:pPr>
        <w:pStyle w:val="Overskrift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78837EC5" w14:textId="3BB29D5C" w:rsidR="00024F95" w:rsidRPr="00FB7E6E" w:rsidRDefault="00CD11C8" w:rsidP="00F72BF5">
      <w:pPr>
        <w:pStyle w:val="Overskrift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8"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lastRenderedPageBreak/>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1"/>
    <w:bookmarkEnd w:id="12"/>
    <w:bookmarkEnd w:id="13"/>
    <w:bookmarkEnd w:id="14"/>
    <w:bookmarkEnd w:id="15"/>
    <w:bookmarkEnd w:id="16"/>
    <w:bookmarkEnd w:id="17"/>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6AD9161D" w14:textId="34B21D98" w:rsidR="00A00C9E" w:rsidRPr="009F4127" w:rsidRDefault="00CD11C8" w:rsidP="009F4127">
      <w:pPr>
        <w:pStyle w:val="Overskrift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6C48EF65"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The parties of the agreement undertake to provide any detailed information requested by the European Commission, the National Agency of</w:t>
      </w:r>
      <w:r w:rsidR="0077396B">
        <w:rPr>
          <w:sz w:val="24"/>
          <w:szCs w:val="24"/>
          <w:lang w:val="en-GB"/>
        </w:rPr>
        <w:t xml:space="preserve"> Denmark </w:t>
      </w:r>
      <w:r w:rsidR="00A00C9E" w:rsidRPr="009F4127">
        <w:rPr>
          <w:sz w:val="24"/>
          <w:szCs w:val="24"/>
          <w:lang w:val="en-GB"/>
        </w:rPr>
        <w:t xml:space="preserve">or by any other outside body authorised by the European Commission or the National Agency of </w:t>
      </w:r>
      <w:r w:rsidR="0077396B" w:rsidRPr="0077396B">
        <w:rPr>
          <w:sz w:val="24"/>
          <w:szCs w:val="24"/>
          <w:lang w:val="en-GB"/>
        </w:rPr>
        <w:t xml:space="preserve">Denmark </w:t>
      </w:r>
      <w:r w:rsidR="00A00C9E" w:rsidRPr="009F4127">
        <w:rPr>
          <w:sz w:val="24"/>
          <w:szCs w:val="24"/>
          <w:lang w:val="en-GB"/>
        </w:rPr>
        <w:t>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Overskrift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0B89A046"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The National Agency of</w:t>
      </w:r>
      <w:r w:rsidR="0077396B">
        <w:rPr>
          <w:sz w:val="24"/>
          <w:szCs w:val="24"/>
          <w:lang w:val="en-GB"/>
        </w:rPr>
        <w:t xml:space="preserve"> Denmark</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77396B">
        <w:rPr>
          <w:sz w:val="24"/>
          <w:szCs w:val="24"/>
          <w:lang w:val="en-GB"/>
        </w:rPr>
        <w:t>Denmark</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lastRenderedPageBreak/>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Overskrift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54D56979"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The Agreement is governed by</w:t>
      </w:r>
      <w:r w:rsidR="0077396B">
        <w:rPr>
          <w:sz w:val="24"/>
          <w:szCs w:val="24"/>
          <w:lang w:val="en-GB"/>
        </w:rPr>
        <w:t xml:space="preserve"> Danish law.</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1A3C2D29" w:rsidR="00F96310" w:rsidRDefault="00F96310">
      <w:pPr>
        <w:tabs>
          <w:tab w:val="left" w:pos="5670"/>
        </w:tabs>
        <w:ind w:left="5812" w:hanging="5812"/>
        <w:rPr>
          <w:sz w:val="24"/>
          <w:szCs w:val="24"/>
          <w:highlight w:val="lightGray"/>
          <w:lang w:val="en-GB"/>
        </w:rPr>
      </w:pPr>
    </w:p>
    <w:p w14:paraId="119D4E72" w14:textId="5AD72901" w:rsidR="0077396B" w:rsidRDefault="0077396B">
      <w:pPr>
        <w:tabs>
          <w:tab w:val="left" w:pos="5670"/>
        </w:tabs>
        <w:ind w:left="5812" w:hanging="5812"/>
        <w:rPr>
          <w:sz w:val="24"/>
          <w:szCs w:val="24"/>
          <w:highlight w:val="lightGray"/>
          <w:lang w:val="en-GB"/>
        </w:rPr>
      </w:pPr>
    </w:p>
    <w:p w14:paraId="0B4CF10B" w14:textId="77777777" w:rsidR="0077396B" w:rsidRPr="00050236" w:rsidRDefault="0077396B">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eafsnit"/>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eafsnit"/>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21C7F922"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eafsnit"/>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eafsnit"/>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97C25" w14:textId="77777777" w:rsidR="005D3071" w:rsidRDefault="005D3071">
    <w:pPr>
      <w:pStyle w:val="Sidefod"/>
      <w:framePr w:wrap="around" w:vAnchor="text" w:hAnchor="margin" w:xAlign="right" w:y="1"/>
      <w:rPr>
        <w:rStyle w:val="Sidetal"/>
        <w:szCs w:val="24"/>
      </w:rPr>
    </w:pPr>
    <w:r>
      <w:rPr>
        <w:rStyle w:val="Sidetal"/>
        <w:szCs w:val="24"/>
      </w:rPr>
      <w:fldChar w:fldCharType="begin"/>
    </w:r>
    <w:r>
      <w:rPr>
        <w:rStyle w:val="Sidetal"/>
        <w:szCs w:val="24"/>
      </w:rPr>
      <w:instrText xml:space="preserve">PAGE  </w:instrText>
    </w:r>
    <w:r>
      <w:rPr>
        <w:rStyle w:val="Sidetal"/>
        <w:szCs w:val="24"/>
      </w:rPr>
      <w:fldChar w:fldCharType="separate"/>
    </w:r>
    <w:r>
      <w:rPr>
        <w:rStyle w:val="Sidetal"/>
        <w:noProof/>
        <w:szCs w:val="24"/>
      </w:rPr>
      <w:t>1</w:t>
    </w:r>
    <w:r>
      <w:rPr>
        <w:rStyle w:val="Sidetal"/>
        <w:szCs w:val="24"/>
      </w:rPr>
      <w:fldChar w:fldCharType="end"/>
    </w:r>
  </w:p>
  <w:p w14:paraId="178C4FDD" w14:textId="77777777" w:rsidR="005D3071" w:rsidRDefault="005D3071">
    <w:pPr>
      <w:pStyle w:val="Sidefod"/>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2B2B" w14:textId="6D026F18" w:rsidR="005D3071" w:rsidRDefault="005D3071">
    <w:pPr>
      <w:pStyle w:val="Sidefod"/>
      <w:framePr w:wrap="around" w:vAnchor="text" w:hAnchor="page" w:x="5482" w:y="131"/>
      <w:rPr>
        <w:rStyle w:val="Sidetal"/>
        <w:szCs w:val="24"/>
      </w:rPr>
    </w:pPr>
    <w:r>
      <w:rPr>
        <w:rStyle w:val="Sidetal"/>
        <w:szCs w:val="24"/>
      </w:rPr>
      <w:fldChar w:fldCharType="begin"/>
    </w:r>
    <w:r>
      <w:rPr>
        <w:rStyle w:val="Sidetal"/>
        <w:szCs w:val="24"/>
      </w:rPr>
      <w:instrText xml:space="preserve">PAGE  </w:instrText>
    </w:r>
    <w:r>
      <w:rPr>
        <w:rStyle w:val="Sidetal"/>
        <w:szCs w:val="24"/>
      </w:rPr>
      <w:fldChar w:fldCharType="separate"/>
    </w:r>
    <w:r w:rsidR="00382CDF">
      <w:rPr>
        <w:rStyle w:val="Sidetal"/>
        <w:noProof/>
        <w:szCs w:val="24"/>
      </w:rPr>
      <w:t>3</w:t>
    </w:r>
    <w:r>
      <w:rPr>
        <w:rStyle w:val="Sidetal"/>
        <w:szCs w:val="24"/>
      </w:rPr>
      <w:fldChar w:fldCharType="end"/>
    </w:r>
  </w:p>
  <w:p w14:paraId="03CFF7A7" w14:textId="77777777" w:rsidR="005D3071" w:rsidRDefault="005D3071" w:rsidP="00791EC6">
    <w:pPr>
      <w:pStyle w:val="Sidefod"/>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43FB" w14:textId="77777777" w:rsidR="005D3071" w:rsidRPr="009A6788" w:rsidRDefault="005D3071" w:rsidP="009A6788">
    <w:pPr>
      <w:pStyle w:val="Sidefod"/>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C50D" w14:textId="1E795F63" w:rsidR="005D3071" w:rsidRDefault="005D3071" w:rsidP="00FE149C">
    <w:pPr>
      <w:pStyle w:val="Sidefod"/>
      <w:framePr w:wrap="auto" w:vAnchor="text" w:hAnchor="margin" w:xAlign="right" w:y="1"/>
      <w:jc w:val="both"/>
      <w:rPr>
        <w:rStyle w:val="Sidetal"/>
      </w:rPr>
    </w:pPr>
    <w:r>
      <w:rPr>
        <w:rStyle w:val="Sidetal"/>
      </w:rPr>
      <w:fldChar w:fldCharType="begin"/>
    </w:r>
    <w:r>
      <w:rPr>
        <w:rStyle w:val="Sidetal"/>
      </w:rPr>
      <w:instrText xml:space="preserve">PAGE  </w:instrText>
    </w:r>
    <w:r>
      <w:rPr>
        <w:rStyle w:val="Sidetal"/>
      </w:rPr>
      <w:fldChar w:fldCharType="separate"/>
    </w:r>
    <w:r w:rsidR="00382CDF">
      <w:rPr>
        <w:rStyle w:val="Sidetal"/>
        <w:noProof/>
      </w:rPr>
      <w:t>8</w:t>
    </w:r>
    <w:r>
      <w:rPr>
        <w:rStyle w:val="Sidetal"/>
      </w:rPr>
      <w:fldChar w:fldCharType="end"/>
    </w:r>
  </w:p>
  <w:p w14:paraId="568873F7" w14:textId="54D40A1B" w:rsidR="005D3071" w:rsidRDefault="005D3071" w:rsidP="00791EC6">
    <w:pPr>
      <w:pStyle w:val="Sidefod"/>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dnotetekst"/>
        <w:ind w:left="0" w:firstLine="0"/>
        <w:rPr>
          <w:lang w:val="en-IE"/>
        </w:rPr>
      </w:pPr>
      <w:r w:rsidRPr="00AB3DCA">
        <w:rPr>
          <w:rStyle w:val="Fodnotehenvisn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dnotetekst"/>
        <w:ind w:left="0" w:firstLine="0"/>
        <w:rPr>
          <w:lang w:val="en-IE"/>
        </w:rPr>
      </w:pPr>
      <w:r w:rsidRPr="0071378C">
        <w:rPr>
          <w:rStyle w:val="Fodnotehenvisn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dnote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D1AF" w14:textId="77777777" w:rsidR="00306FB2" w:rsidRDefault="00306FB2" w:rsidP="00306FB2">
    <w:pPr>
      <w:pStyle w:val="Sidehoved"/>
      <w:spacing w:after="0"/>
      <w:rPr>
        <w:rFonts w:ascii="Arial Narrow" w:hAnsi="Arial Narrow" w:cs="Arial"/>
        <w:i/>
        <w:sz w:val="15"/>
        <w:szCs w:val="15"/>
        <w:lang w:val="en-GB"/>
      </w:rPr>
    </w:pPr>
    <w:r>
      <w:rPr>
        <w:rFonts w:ascii="Arial Narrow" w:hAnsi="Arial Narrow" w:cs="Arial"/>
        <w:i/>
        <w:sz w:val="15"/>
        <w:szCs w:val="15"/>
        <w:lang w:val="en-GB"/>
      </w:rPr>
      <w:t>2025 - Erasmus+: Vocational Education</w:t>
    </w:r>
    <w:r w:rsidRPr="001257E8">
      <w:rPr>
        <w:rFonts w:ascii="Arial Narrow" w:hAnsi="Arial Narrow" w:cs="Arial"/>
        <w:i/>
        <w:sz w:val="15"/>
        <w:szCs w:val="15"/>
        <w:lang w:val="en-GB"/>
      </w:rPr>
      <w:t xml:space="preserve"> </w:t>
    </w:r>
    <w:r>
      <w:rPr>
        <w:rFonts w:ascii="Arial Narrow" w:hAnsi="Arial Narrow" w:cs="Arial"/>
        <w:i/>
        <w:sz w:val="15"/>
        <w:szCs w:val="15"/>
        <w:lang w:val="en-GB"/>
      </w:rPr>
      <w:t xml:space="preserve">and Training </w:t>
    </w:r>
  </w:p>
  <w:p w14:paraId="22A8EA16" w14:textId="4410696C" w:rsidR="00306FB2" w:rsidRDefault="00306FB2" w:rsidP="00306FB2">
    <w:pPr>
      <w:pStyle w:val="Sidehoved"/>
      <w:spacing w:after="0"/>
      <w:rPr>
        <w:rFonts w:ascii="Arial Narrow" w:hAnsi="Arial Narrow" w:cs="Arial"/>
        <w:i/>
        <w:sz w:val="15"/>
        <w:szCs w:val="15"/>
        <w:lang w:val="en-GB"/>
      </w:rPr>
    </w:pPr>
    <w:r>
      <w:rPr>
        <w:rFonts w:ascii="Arial Narrow" w:hAnsi="Arial Narrow" w:cs="Arial"/>
        <w:i/>
        <w:sz w:val="15"/>
        <w:szCs w:val="15"/>
        <w:lang w:val="en-GB"/>
      </w:rPr>
      <w:t>Participant Grant Agreement for both learners and staff</w:t>
    </w:r>
  </w:p>
  <w:p w14:paraId="45291AB8" w14:textId="77777777" w:rsidR="00306FB2" w:rsidRPr="00CD12EC" w:rsidRDefault="00306FB2" w:rsidP="00306FB2">
    <w:pPr>
      <w:pStyle w:val="Sidehoved"/>
      <w:rPr>
        <w:rFonts w:ascii="Arial Narrow" w:hAnsi="Arial Narrow" w:cs="Arial"/>
        <w:i/>
        <w:sz w:val="15"/>
        <w:szCs w:val="15"/>
        <w:lang w:val="en-GB"/>
      </w:rPr>
    </w:pPr>
    <w:r w:rsidRPr="001257E8">
      <w:rPr>
        <w:rFonts w:ascii="Arial Narrow" w:hAnsi="Arial Narrow" w:cs="Arial"/>
        <w:i/>
        <w:sz w:val="15"/>
        <w:szCs w:val="15"/>
        <w:lang w:val="en-GB"/>
      </w:rPr>
      <w:t>KA1</w:t>
    </w:r>
    <w:r>
      <w:rPr>
        <w:rFonts w:ascii="Arial Narrow" w:hAnsi="Arial Narrow" w:cs="Arial"/>
        <w:i/>
        <w:sz w:val="15"/>
        <w:szCs w:val="15"/>
        <w:lang w:val="en-GB"/>
      </w:rPr>
      <w:t>21-VET &amp; KA122-VET</w:t>
    </w:r>
  </w:p>
  <w:p w14:paraId="0580B19E" w14:textId="77777777" w:rsidR="00C31E7A" w:rsidRPr="0077396B" w:rsidRDefault="00C31E7A">
    <w:pPr>
      <w:pStyle w:val="Sidehoved"/>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07EB" w14:textId="0D388E3E" w:rsidR="0077396B" w:rsidRDefault="0077396B" w:rsidP="0077396B">
    <w:pPr>
      <w:pStyle w:val="Sidehoved"/>
      <w:spacing w:after="0"/>
      <w:rPr>
        <w:rFonts w:ascii="Arial Narrow" w:hAnsi="Arial Narrow" w:cs="Arial"/>
        <w:i/>
        <w:sz w:val="15"/>
        <w:szCs w:val="15"/>
        <w:lang w:val="en-GB"/>
      </w:rPr>
    </w:pPr>
    <w:r>
      <w:rPr>
        <w:rFonts w:ascii="Arial Narrow" w:hAnsi="Arial Narrow" w:cs="Arial"/>
        <w:i/>
        <w:sz w:val="15"/>
        <w:szCs w:val="15"/>
        <w:lang w:val="en-GB"/>
      </w:rPr>
      <w:t>2025 - Erasmus+: Vocational Education</w:t>
    </w:r>
    <w:r w:rsidRPr="001257E8">
      <w:rPr>
        <w:rFonts w:ascii="Arial Narrow" w:hAnsi="Arial Narrow" w:cs="Arial"/>
        <w:i/>
        <w:sz w:val="15"/>
        <w:szCs w:val="15"/>
        <w:lang w:val="en-GB"/>
      </w:rPr>
      <w:t xml:space="preserve"> </w:t>
    </w:r>
    <w:r>
      <w:rPr>
        <w:rFonts w:ascii="Arial Narrow" w:hAnsi="Arial Narrow" w:cs="Arial"/>
        <w:i/>
        <w:sz w:val="15"/>
        <w:szCs w:val="15"/>
        <w:lang w:val="en-GB"/>
      </w:rPr>
      <w:t xml:space="preserve">and Training </w:t>
    </w:r>
  </w:p>
  <w:p w14:paraId="1E068E20" w14:textId="4DB5A648" w:rsidR="0077396B" w:rsidRDefault="0077396B" w:rsidP="00306FB2">
    <w:pPr>
      <w:pStyle w:val="Sidehoved"/>
      <w:spacing w:after="0"/>
      <w:rPr>
        <w:rFonts w:ascii="Arial Narrow" w:hAnsi="Arial Narrow" w:cs="Arial"/>
        <w:i/>
        <w:sz w:val="15"/>
        <w:szCs w:val="15"/>
        <w:lang w:val="en-GB"/>
      </w:rPr>
    </w:pPr>
    <w:r>
      <w:rPr>
        <w:rFonts w:ascii="Arial Narrow" w:hAnsi="Arial Narrow" w:cs="Arial"/>
        <w:i/>
        <w:sz w:val="15"/>
        <w:szCs w:val="15"/>
        <w:lang w:val="en-GB"/>
      </w:rPr>
      <w:t>Participant Grant Agreement for both learners and staff</w:t>
    </w:r>
    <w:r>
      <w:rPr>
        <w:noProof/>
        <w:snapToGrid/>
      </w:rPr>
      <w:drawing>
        <wp:anchor distT="0" distB="0" distL="114300" distR="114300" simplePos="0" relativeHeight="251659264" behindDoc="0" locked="0" layoutInCell="1" allowOverlap="1" wp14:anchorId="7C872D99" wp14:editId="68ED4DD3">
          <wp:simplePos x="0" y="0"/>
          <wp:positionH relativeFrom="column">
            <wp:posOffset>4233545</wp:posOffset>
          </wp:positionH>
          <wp:positionV relativeFrom="paragraph">
            <wp:posOffset>-180975</wp:posOffset>
          </wp:positionV>
          <wp:extent cx="1717040" cy="359410"/>
          <wp:effectExtent l="0" t="0" r="0" b="254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unded by the EU-POS.jpg"/>
                  <pic:cNvPicPr/>
                </pic:nvPicPr>
                <pic:blipFill>
                  <a:blip r:embed="rId1">
                    <a:extLst>
                      <a:ext uri="{28A0092B-C50C-407E-A947-70E740481C1C}">
                        <a14:useLocalDpi xmlns:a14="http://schemas.microsoft.com/office/drawing/2010/main" val="0"/>
                      </a:ext>
                    </a:extLst>
                  </a:blip>
                  <a:stretch>
                    <a:fillRect/>
                  </a:stretch>
                </pic:blipFill>
                <pic:spPr>
                  <a:xfrm>
                    <a:off x="0" y="0"/>
                    <a:ext cx="1717040" cy="359410"/>
                  </a:xfrm>
                  <a:prstGeom prst="rect">
                    <a:avLst/>
                  </a:prstGeom>
                </pic:spPr>
              </pic:pic>
            </a:graphicData>
          </a:graphic>
          <wp14:sizeRelH relativeFrom="margin">
            <wp14:pctWidth>0</wp14:pctWidth>
          </wp14:sizeRelH>
          <wp14:sizeRelV relativeFrom="margin">
            <wp14:pctHeight>0</wp14:pctHeight>
          </wp14:sizeRelV>
        </wp:anchor>
      </w:drawing>
    </w:r>
  </w:p>
  <w:p w14:paraId="4CB8F61E" w14:textId="716B68BB" w:rsidR="00306FB2" w:rsidRPr="00CD12EC" w:rsidRDefault="00306FB2" w:rsidP="0077396B">
    <w:pPr>
      <w:pStyle w:val="Sidehoved"/>
      <w:rPr>
        <w:rFonts w:ascii="Arial Narrow" w:hAnsi="Arial Narrow" w:cs="Arial"/>
        <w:i/>
        <w:sz w:val="15"/>
        <w:szCs w:val="15"/>
        <w:lang w:val="en-GB"/>
      </w:rPr>
    </w:pPr>
    <w:r w:rsidRPr="001257E8">
      <w:rPr>
        <w:rFonts w:ascii="Arial Narrow" w:hAnsi="Arial Narrow" w:cs="Arial"/>
        <w:i/>
        <w:sz w:val="15"/>
        <w:szCs w:val="15"/>
        <w:lang w:val="en-GB"/>
      </w:rPr>
      <w:t>KA1</w:t>
    </w:r>
    <w:r>
      <w:rPr>
        <w:rFonts w:ascii="Arial Narrow" w:hAnsi="Arial Narrow" w:cs="Arial"/>
        <w:i/>
        <w:sz w:val="15"/>
        <w:szCs w:val="15"/>
        <w:lang w:val="en-GB"/>
      </w:rPr>
      <w:t>21-VET &amp; KA122-VET</w:t>
    </w:r>
  </w:p>
  <w:p w14:paraId="609F8E47" w14:textId="774B2186" w:rsidR="005D3071" w:rsidRPr="0077396B" w:rsidRDefault="005D3071" w:rsidP="0077396B">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E8F3" w14:textId="77777777" w:rsidR="005D3071" w:rsidRPr="00791EC6" w:rsidRDefault="005D3071" w:rsidP="00791E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rPr>
    </w:lvl>
    <w:lvl w:ilvl="2">
      <w:start w:val="1"/>
      <w:numFmt w:val="decimal"/>
      <w:pStyle w:val="Oversk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numFmt w:val="decimal"/>
      <w:pStyle w:val="Overskrift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
  </w:num>
  <w:num w:numId="11">
    <w:abstractNumId w:val="4"/>
  </w:num>
  <w:num w:numId="12">
    <w:abstractNumId w:val="14"/>
  </w:num>
  <w:num w:numId="13">
    <w:abstractNumId w:val="16"/>
  </w:num>
  <w:num w:numId="14">
    <w:abstractNumId w:val="6"/>
  </w:num>
  <w:num w:numId="15">
    <w:abstractNumId w:val="20"/>
  </w:num>
  <w:num w:numId="16">
    <w:abstractNumId w:val="22"/>
  </w:num>
  <w:num w:numId="17">
    <w:abstractNumId w:val="5"/>
  </w:num>
  <w:num w:numId="18">
    <w:abstractNumId w:val="13"/>
  </w:num>
  <w:num w:numId="19">
    <w:abstractNumId w:val="21"/>
  </w:num>
  <w:num w:numId="20">
    <w:abstractNumId w:val="25"/>
  </w:num>
  <w:num w:numId="21">
    <w:abstractNumId w:val="12"/>
  </w:num>
  <w:num w:numId="22">
    <w:abstractNumId w:val="19"/>
  </w:num>
  <w:num w:numId="23">
    <w:abstractNumId w:val="17"/>
  </w:num>
  <w:num w:numId="24">
    <w:abstractNumId w:val="18"/>
  </w:num>
  <w:num w:numId="25">
    <w:abstractNumId w:val="23"/>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6FB2"/>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396B"/>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615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28E"/>
    <w:rPr>
      <w:snapToGrid w:val="0"/>
      <w:lang w:val="fr-FR"/>
    </w:rPr>
  </w:style>
  <w:style w:type="paragraph" w:styleId="Overskrift1">
    <w:name w:val="heading 1"/>
    <w:basedOn w:val="Normal"/>
    <w:next w:val="Text1"/>
    <w:qFormat/>
    <w:rsid w:val="0012428E"/>
    <w:pPr>
      <w:keepNext/>
      <w:numPr>
        <w:numId w:val="16"/>
      </w:numPr>
      <w:spacing w:before="240" w:after="240"/>
      <w:jc w:val="both"/>
      <w:outlineLvl w:val="0"/>
    </w:pPr>
    <w:rPr>
      <w:b/>
      <w:smallCaps/>
      <w:sz w:val="24"/>
    </w:rPr>
  </w:style>
  <w:style w:type="paragraph" w:styleId="Overskrift2">
    <w:name w:val="heading 2"/>
    <w:basedOn w:val="Normal"/>
    <w:next w:val="Text2"/>
    <w:qFormat/>
    <w:rsid w:val="0012428E"/>
    <w:pPr>
      <w:keepNext/>
      <w:numPr>
        <w:ilvl w:val="1"/>
        <w:numId w:val="16"/>
      </w:numPr>
      <w:spacing w:after="240"/>
      <w:jc w:val="both"/>
      <w:outlineLvl w:val="1"/>
    </w:pPr>
    <w:rPr>
      <w:b/>
      <w:sz w:val="24"/>
    </w:rPr>
  </w:style>
  <w:style w:type="paragraph" w:styleId="Overskrift3">
    <w:name w:val="heading 3"/>
    <w:basedOn w:val="Normal"/>
    <w:next w:val="Text3"/>
    <w:qFormat/>
    <w:rsid w:val="0012428E"/>
    <w:pPr>
      <w:keepNext/>
      <w:numPr>
        <w:ilvl w:val="2"/>
        <w:numId w:val="16"/>
      </w:numPr>
      <w:spacing w:after="240"/>
      <w:jc w:val="both"/>
      <w:outlineLvl w:val="2"/>
    </w:pPr>
    <w:rPr>
      <w:i/>
      <w:sz w:val="24"/>
    </w:rPr>
  </w:style>
  <w:style w:type="paragraph" w:styleId="Overskrift4">
    <w:name w:val="heading 4"/>
    <w:basedOn w:val="Normal"/>
    <w:next w:val="Text4"/>
    <w:link w:val="Overskrift4Tegn"/>
    <w:uiPriority w:val="9"/>
    <w:qFormat/>
    <w:rsid w:val="0012428E"/>
    <w:pPr>
      <w:keepNext/>
      <w:spacing w:after="240"/>
      <w:jc w:val="both"/>
      <w:outlineLvl w:val="3"/>
    </w:pPr>
    <w:rPr>
      <w:sz w:val="24"/>
    </w:rPr>
  </w:style>
  <w:style w:type="paragraph" w:styleId="Overskrift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Overskrift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Overskrift7">
    <w:name w:val="heading 7"/>
    <w:basedOn w:val="Normal"/>
    <w:next w:val="Normal"/>
    <w:qFormat/>
    <w:rsid w:val="0012428E"/>
    <w:pPr>
      <w:numPr>
        <w:ilvl w:val="6"/>
        <w:numId w:val="16"/>
      </w:numPr>
      <w:spacing w:before="240" w:after="60"/>
      <w:jc w:val="both"/>
      <w:outlineLvl w:val="6"/>
    </w:pPr>
    <w:rPr>
      <w:rFonts w:ascii="Arial" w:hAnsi="Arial"/>
    </w:rPr>
  </w:style>
  <w:style w:type="paragraph" w:styleId="Overskrift8">
    <w:name w:val="heading 8"/>
    <w:basedOn w:val="Normal"/>
    <w:next w:val="Normal"/>
    <w:qFormat/>
    <w:rsid w:val="0012428E"/>
    <w:pPr>
      <w:numPr>
        <w:ilvl w:val="7"/>
        <w:numId w:val="16"/>
      </w:numPr>
      <w:spacing w:before="240" w:after="60"/>
      <w:jc w:val="both"/>
      <w:outlineLvl w:val="7"/>
    </w:pPr>
    <w:rPr>
      <w:rFonts w:ascii="Arial" w:hAnsi="Arial"/>
      <w:i/>
    </w:rPr>
  </w:style>
  <w:style w:type="paragraph" w:styleId="Overskrift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el">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titel">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dnotehenvisning">
    <w:name w:val="footnote reference"/>
    <w:semiHidden/>
    <w:rsid w:val="0012428E"/>
    <w:rPr>
      <w:rFonts w:cs="Times New Roman"/>
    </w:rPr>
  </w:style>
  <w:style w:type="paragraph" w:styleId="Brdtekst">
    <w:name w:val="Body Text"/>
    <w:aliases w:val="Document,Doc,Body Text2,doc,Standard paragraph,BodyText, (Norm),Body Text 12,bt,gl,uvlaka 2,(Norm),heading3,Body Text - Level 2,1body,BodText,body text,Body Txt,Body Text-10,Body Text Char2,Text Char1,Τίτλος Μελέτης,- TF,Text"/>
    <w:basedOn w:val="Normal"/>
    <w:link w:val="BrdtekstTegn"/>
    <w:rsid w:val="0012428E"/>
    <w:pPr>
      <w:jc w:val="both"/>
    </w:pPr>
    <w:rPr>
      <w:sz w:val="24"/>
    </w:rPr>
  </w:style>
  <w:style w:type="paragraph" w:styleId="Fodnotetekst">
    <w:name w:val="footnote text"/>
    <w:basedOn w:val="Normal"/>
    <w:semiHidden/>
    <w:rsid w:val="0012428E"/>
    <w:pPr>
      <w:spacing w:after="240"/>
      <w:ind w:left="357" w:hanging="357"/>
      <w:jc w:val="both"/>
    </w:pPr>
  </w:style>
  <w:style w:type="character" w:styleId="Sidetal">
    <w:name w:val="page number"/>
    <w:rsid w:val="0012428E"/>
    <w:rPr>
      <w:rFonts w:cs="Times New Roman"/>
    </w:rPr>
  </w:style>
  <w:style w:type="paragraph" w:styleId="Sidehoved">
    <w:name w:val="header"/>
    <w:basedOn w:val="Normal"/>
    <w:link w:val="SidehovedTegn"/>
    <w:rsid w:val="0012428E"/>
    <w:pPr>
      <w:tabs>
        <w:tab w:val="center" w:pos="4153"/>
        <w:tab w:val="right" w:pos="8306"/>
      </w:tabs>
      <w:spacing w:after="240"/>
      <w:jc w:val="both"/>
    </w:pPr>
    <w:rPr>
      <w:sz w:val="24"/>
    </w:rPr>
  </w:style>
  <w:style w:type="paragraph" w:styleId="Sidefod">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Fremhv">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k">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kumentoversig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Markeringsbobletekst">
    <w:name w:val="Balloon Text"/>
    <w:basedOn w:val="Normal"/>
    <w:semiHidden/>
    <w:rsid w:val="00FD6452"/>
    <w:rPr>
      <w:rFonts w:ascii="Tahoma" w:hAnsi="Tahoma" w:cs="Tahoma"/>
      <w:sz w:val="16"/>
      <w:szCs w:val="16"/>
    </w:rPr>
  </w:style>
  <w:style w:type="character" w:customStyle="1" w:styleId="BrdtekstTegn">
    <w:name w:val="Brødtekst Tegn"/>
    <w:aliases w:val="Document Tegn,Doc Tegn,Body Text2 Tegn,doc Tegn,Standard paragraph Tegn,BodyText Tegn, (Norm) Tegn,Body Text 12 Tegn,bt Tegn,gl Tegn,uvlaka 2 Tegn,(Norm) Tegn,heading3 Tegn,Body Text - Level 2 Tegn,1body Tegn,BodText Tegn,body text Tegn"/>
    <w:link w:val="Brdtekst"/>
    <w:rsid w:val="0082163D"/>
    <w:rPr>
      <w:snapToGrid w:val="0"/>
      <w:sz w:val="24"/>
      <w:lang w:val="fr-FR" w:eastAsia="en-GB" w:bidi="ar-SA"/>
    </w:rPr>
  </w:style>
  <w:style w:type="character" w:styleId="Kommentarhenvisning">
    <w:name w:val="annotation reference"/>
    <w:rsid w:val="00FB10DF"/>
    <w:rPr>
      <w:sz w:val="16"/>
      <w:szCs w:val="16"/>
    </w:rPr>
  </w:style>
  <w:style w:type="paragraph" w:styleId="Kommentartekst">
    <w:name w:val="annotation text"/>
    <w:basedOn w:val="Normal"/>
    <w:link w:val="KommentartekstTegn"/>
    <w:rsid w:val="00FB10DF"/>
  </w:style>
  <w:style w:type="character" w:customStyle="1" w:styleId="KommentartekstTegn">
    <w:name w:val="Kommentartekst Tegn"/>
    <w:link w:val="Kommentartekst"/>
    <w:rsid w:val="00FB10DF"/>
    <w:rPr>
      <w:snapToGrid w:val="0"/>
      <w:lang w:val="fr-FR"/>
    </w:rPr>
  </w:style>
  <w:style w:type="paragraph" w:styleId="Kommentaremne">
    <w:name w:val="annotation subject"/>
    <w:basedOn w:val="Kommentartekst"/>
    <w:next w:val="Kommentartekst"/>
    <w:link w:val="KommentaremneTegn"/>
    <w:rsid w:val="00FB10DF"/>
    <w:rPr>
      <w:b/>
      <w:bCs/>
    </w:rPr>
  </w:style>
  <w:style w:type="character" w:customStyle="1" w:styleId="KommentaremneTegn">
    <w:name w:val="Kommentaremne Tegn"/>
    <w:link w:val="Kommentaremne"/>
    <w:rsid w:val="00FB10DF"/>
    <w:rPr>
      <w:b/>
      <w:bCs/>
      <w:snapToGrid w:val="0"/>
      <w:lang w:val="fr-FR"/>
    </w:rPr>
  </w:style>
  <w:style w:type="paragraph" w:styleId="Slutnotetekst">
    <w:name w:val="endnote text"/>
    <w:basedOn w:val="Normal"/>
    <w:link w:val="SlutnotetekstTegn"/>
    <w:rsid w:val="002E24F7"/>
  </w:style>
  <w:style w:type="character" w:customStyle="1" w:styleId="SlutnotetekstTegn">
    <w:name w:val="Slutnotetekst Tegn"/>
    <w:link w:val="Slutnotetekst"/>
    <w:rsid w:val="002E24F7"/>
    <w:rPr>
      <w:snapToGrid w:val="0"/>
      <w:lang w:val="fr-FR"/>
    </w:rPr>
  </w:style>
  <w:style w:type="character" w:styleId="Slutnotehenvisning">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Korrektur">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eafsnit">
    <w:name w:val="List Paragraph"/>
    <w:basedOn w:val="Normal"/>
    <w:link w:val="ListeafsnitTegn"/>
    <w:uiPriority w:val="34"/>
    <w:qFormat/>
    <w:rsid w:val="007F0522"/>
    <w:pPr>
      <w:ind w:left="720"/>
      <w:contextualSpacing/>
    </w:pPr>
  </w:style>
  <w:style w:type="character" w:styleId="BesgtLink">
    <w:name w:val="FollowedHyperlink"/>
    <w:basedOn w:val="Standardskrifttypeiafsnit"/>
    <w:semiHidden/>
    <w:unhideWhenUsed/>
    <w:rsid w:val="00203BA2"/>
    <w:rPr>
      <w:color w:val="800080" w:themeColor="followedHyperlink"/>
      <w:u w:val="single"/>
    </w:rPr>
  </w:style>
  <w:style w:type="character" w:customStyle="1" w:styleId="Overskrift4Tegn">
    <w:name w:val="Overskrift 4 Tegn"/>
    <w:basedOn w:val="Standardskrifttypeiafsnit"/>
    <w:link w:val="Overskrift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eafsnitTegn">
    <w:name w:val="Listeafsnit Tegn"/>
    <w:link w:val="Listeafsnit"/>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lstomtale">
    <w:name w:val="Unresolved Mention"/>
    <w:basedOn w:val="Standardskrifttypeiafsnit"/>
    <w:uiPriority w:val="99"/>
    <w:semiHidden/>
    <w:unhideWhenUsed/>
    <w:rsid w:val="0071378C"/>
    <w:rPr>
      <w:color w:val="605E5C"/>
      <w:shd w:val="clear" w:color="auto" w:fill="E1DFDD"/>
    </w:rPr>
  </w:style>
  <w:style w:type="character" w:styleId="Omtal">
    <w:name w:val="Mention"/>
    <w:basedOn w:val="Standardskrifttypeiafsnit"/>
    <w:uiPriority w:val="99"/>
    <w:unhideWhenUsed/>
    <w:rsid w:val="00B52AA1"/>
    <w:rPr>
      <w:color w:val="2B579A"/>
      <w:shd w:val="clear" w:color="auto" w:fill="E1DFDD"/>
    </w:rPr>
  </w:style>
  <w:style w:type="character" w:customStyle="1" w:styleId="SidehovedTegn">
    <w:name w:val="Sidehoved Tegn"/>
    <w:basedOn w:val="Standardskrifttypeiafsnit"/>
    <w:link w:val="Sidehoved"/>
    <w:rsid w:val="0077396B"/>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098161b8-b40f-494c-8b12-be550b2d91c1"/>
    <ds:schemaRef ds:uri="http://purl.org/dc/terms/"/>
    <ds:schemaRef ds:uri="http://purl.org/dc/dcmitype/"/>
    <ds:schemaRef ds:uri="d629bfb1-093d-45de-a2ee-6b50830a3fb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C9D0B4-A268-4656-9B02-A67DC868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3010</Words>
  <Characters>16558</Characters>
  <Application>Microsoft Office Word</Application>
  <DocSecurity>0</DocSecurity>
  <Lines>331</Lines>
  <Paragraphs>173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Jette Esager Rasmussen</cp:lastModifiedBy>
  <cp:revision>3</cp:revision>
  <cp:lastPrinted>2021-08-25T01:05:00Z</cp:lastPrinted>
  <dcterms:created xsi:type="dcterms:W3CDTF">2025-06-06T07:24:00Z</dcterms:created>
  <dcterms:modified xsi:type="dcterms:W3CDTF">2025-06-06T08:24:00Z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ContentRemapped">
    <vt:lpwstr>true</vt:lpwstr>
  </property>
</Properties>
</file>