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5D4D" w14:textId="77777777" w:rsidR="00C20AF6" w:rsidRPr="00C20AF6" w:rsidRDefault="00C20AF6" w:rsidP="00C20AF6">
      <w:pPr>
        <w:tabs>
          <w:tab w:val="clear" w:pos="454"/>
        </w:tabs>
        <w:rPr>
          <w:rFonts w:ascii="Calibri" w:hAnsi="Calibri"/>
          <w:b/>
          <w:smallCaps/>
          <w:color w:val="auto"/>
          <w:sz w:val="96"/>
          <w:szCs w:val="96"/>
        </w:rPr>
      </w:pPr>
      <w:r w:rsidRPr="00C20AF6">
        <w:rPr>
          <w:rFonts w:ascii="Calibri" w:hAnsi="Calibri"/>
          <w:b/>
          <w:smallCaps/>
          <w:color w:val="auto"/>
          <w:sz w:val="96"/>
          <w:szCs w:val="96"/>
        </w:rPr>
        <w:t xml:space="preserve">Fælles kontoplan </w:t>
      </w:r>
    </w:p>
    <w:p w14:paraId="18898C0C" w14:textId="7A4D71A4" w:rsidR="00C20AF6" w:rsidRDefault="00A01FCD" w:rsidP="00C20AF6">
      <w:pPr>
        <w:pStyle w:val="ForsideUnderoverskriftSmall"/>
        <w:tabs>
          <w:tab w:val="clear" w:pos="454"/>
        </w:tabs>
        <w:ind w:left="0"/>
        <w:rPr>
          <w:color w:val="auto"/>
          <w:sz w:val="44"/>
          <w:szCs w:val="44"/>
        </w:rPr>
      </w:pPr>
      <w:r w:rsidRPr="00A01FCD">
        <w:rPr>
          <w:b/>
          <w:noProof/>
          <w:color w:val="FF0000"/>
          <w:lang w:eastAsia="da-DK"/>
        </w:rPr>
        <mc:AlternateContent>
          <mc:Choice Requires="wps">
            <w:drawing>
              <wp:anchor distT="45720" distB="45720" distL="114300" distR="114300" simplePos="0" relativeHeight="251659264" behindDoc="0" locked="0" layoutInCell="1" allowOverlap="1" wp14:anchorId="3809E81D" wp14:editId="6CDCA826">
                <wp:simplePos x="0" y="0"/>
                <wp:positionH relativeFrom="margin">
                  <wp:posOffset>-15875</wp:posOffset>
                </wp:positionH>
                <wp:positionV relativeFrom="paragraph">
                  <wp:posOffset>682625</wp:posOffset>
                </wp:positionV>
                <wp:extent cx="5747385" cy="1413510"/>
                <wp:effectExtent l="0" t="0" r="24765"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13510"/>
                        </a:xfrm>
                        <a:prstGeom prst="rect">
                          <a:avLst/>
                        </a:prstGeom>
                        <a:solidFill>
                          <a:srgbClr val="FFFFFF"/>
                        </a:solidFill>
                        <a:ln w="9525">
                          <a:solidFill>
                            <a:srgbClr val="000000"/>
                          </a:solidFill>
                          <a:miter lim="800000"/>
                          <a:headEnd/>
                          <a:tailEnd/>
                        </a:ln>
                      </wps:spPr>
                      <wps:txbx>
                        <w:txbxContent>
                          <w:p w14:paraId="0167A25C" w14:textId="01B7DFC8" w:rsidR="00A01FCD" w:rsidRDefault="00A01FCD">
                            <w:pPr>
                              <w:rPr>
                                <w:sz w:val="24"/>
                              </w:rPr>
                            </w:pPr>
                            <w:r w:rsidRPr="00A01FCD">
                              <w:rPr>
                                <w:sz w:val="24"/>
                              </w:rPr>
                              <w:t>Om dette udkast</w:t>
                            </w:r>
                          </w:p>
                          <w:p w14:paraId="0610B7FA" w14:textId="49CC5AEE" w:rsidR="00A01FCD" w:rsidRDefault="00A01FCD">
                            <w:pPr>
                              <w:rPr>
                                <w:sz w:val="18"/>
                              </w:rPr>
                            </w:pPr>
                            <w:r>
                              <w:rPr>
                                <w:sz w:val="18"/>
                              </w:rPr>
                              <w:t>I dette udkast til Konterings- og fordelingsvejledningen er kapitel 2 om artsdimensionen, kapitel 3 om delregnskab og kapitel 5 om formål blevet opdateret med udgangspunkt i institutionernes høringssvar fra august 2019.</w:t>
                            </w:r>
                          </w:p>
                          <w:p w14:paraId="0DB1650B" w14:textId="0731B5E8" w:rsidR="00A01FCD" w:rsidRDefault="00A01FCD">
                            <w:pPr>
                              <w:rPr>
                                <w:sz w:val="18"/>
                              </w:rPr>
                            </w:pPr>
                          </w:p>
                          <w:p w14:paraId="191C3A7C" w14:textId="7EA55F11" w:rsidR="00A01FCD" w:rsidRPr="00A01FCD" w:rsidRDefault="00A01FCD">
                            <w:pPr>
                              <w:rPr>
                                <w:sz w:val="18"/>
                              </w:rPr>
                            </w:pPr>
                            <w:r>
                              <w:rPr>
                                <w:sz w:val="18"/>
                              </w:rPr>
                              <w:t xml:space="preserve">De berørte kapitler drøftedes med den tekniske referencegruppe for den fælles kontoplan den 28. august 2019.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9E81D" id="_x0000_t202" coordsize="21600,21600" o:spt="202" path="m,l,21600r21600,l21600,xe">
                <v:stroke joinstyle="miter"/>
                <v:path gradientshapeok="t" o:connecttype="rect"/>
              </v:shapetype>
              <v:shape id="Tekstfelt 2" o:spid="_x0000_s1026" type="#_x0000_t202" style="position:absolute;margin-left:-1.25pt;margin-top:53.75pt;width:452.55pt;height:11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">
                <v:textbox>
                  <w:txbxContent>
                    <w:p w14:paraId="0167A25C" w14:textId="01B7DFC8" w:rsidR="00A01FCD" w:rsidRDefault="00A01FCD">
                      <w:pPr>
                        <w:rPr>
                          <w:sz w:val="24"/>
                        </w:rPr>
                      </w:pPr>
                      <w:r w:rsidRPr="00A01FCD">
                        <w:rPr>
                          <w:sz w:val="24"/>
                        </w:rPr>
                        <w:t>Om dette udkast</w:t>
                      </w:r>
                    </w:p>
                    <w:p w14:paraId="0610B7FA" w14:textId="49CC5AEE" w:rsidR="00A01FCD" w:rsidRDefault="00A01FCD">
                      <w:pPr>
                        <w:rPr>
                          <w:sz w:val="18"/>
                        </w:rPr>
                      </w:pPr>
                      <w:r>
                        <w:rPr>
                          <w:sz w:val="18"/>
                        </w:rPr>
                        <w:t>I dette udkast til Konterings- og fordelingsvejledningen er kapitel 2 om artsdimensionen, kapitel 3 om delregnskab og kapitel 5 om formål blevet opdateret med udgangspunkt i institutionernes høringssvar fra august 2019.</w:t>
                      </w:r>
                    </w:p>
                    <w:p w14:paraId="0DB1650B" w14:textId="0731B5E8" w:rsidR="00A01FCD" w:rsidRDefault="00A01FCD">
                      <w:pPr>
                        <w:rPr>
                          <w:sz w:val="18"/>
                        </w:rPr>
                      </w:pPr>
                    </w:p>
                    <w:p w14:paraId="191C3A7C" w14:textId="7EA55F11" w:rsidR="00A01FCD" w:rsidRPr="00A01FCD" w:rsidRDefault="00A01FCD">
                      <w:pPr>
                        <w:rPr>
                          <w:sz w:val="18"/>
                        </w:rPr>
                      </w:pPr>
                      <w:r>
                        <w:rPr>
                          <w:sz w:val="18"/>
                        </w:rPr>
                        <w:t xml:space="preserve">De berørte kapitler drøftedes med den tekniske referencegruppe for den fælles kontoplan den 28. </w:t>
                      </w:r>
                      <w:r>
                        <w:rPr>
                          <w:sz w:val="18"/>
                        </w:rPr>
                        <w:t xml:space="preserve">august 2019. </w:t>
                      </w:r>
                      <w:bookmarkStart w:id="1" w:name="_GoBack"/>
                      <w:bookmarkEnd w:id="1"/>
                    </w:p>
                  </w:txbxContent>
                </v:textbox>
                <w10:wrap type="square" anchorx="margin"/>
              </v:shape>
            </w:pict>
          </mc:Fallback>
        </mc:AlternateContent>
      </w:r>
      <w:r w:rsidR="00C36E3C" w:rsidRPr="00C36E3C">
        <w:rPr>
          <w:b/>
          <w:i/>
          <w:color w:val="FF0000"/>
          <w:sz w:val="44"/>
          <w:szCs w:val="44"/>
        </w:rPr>
        <w:t>UDKAST TIL</w:t>
      </w:r>
      <w:r w:rsidR="00C36E3C" w:rsidRPr="00C36E3C">
        <w:rPr>
          <w:color w:val="FF0000"/>
          <w:sz w:val="44"/>
          <w:szCs w:val="44"/>
        </w:rPr>
        <w:t xml:space="preserve"> </w:t>
      </w:r>
      <w:r w:rsidR="00330E72" w:rsidRPr="00330E72">
        <w:rPr>
          <w:color w:val="auto"/>
          <w:sz w:val="42"/>
          <w:szCs w:val="42"/>
        </w:rPr>
        <w:t>Konteri</w:t>
      </w:r>
      <w:r w:rsidR="00602F5B">
        <w:rPr>
          <w:color w:val="auto"/>
          <w:sz w:val="42"/>
          <w:szCs w:val="42"/>
        </w:rPr>
        <w:t>ngs- og fordelingsvejledning 2.</w:t>
      </w:r>
      <w:r w:rsidR="00452236">
        <w:rPr>
          <w:color w:val="auto"/>
          <w:sz w:val="42"/>
          <w:szCs w:val="42"/>
        </w:rPr>
        <w:t>3</w:t>
      </w:r>
    </w:p>
    <w:p w14:paraId="4E5C0D22" w14:textId="73756916" w:rsidR="00314E48" w:rsidRDefault="00314E48" w:rsidP="00C20AF6">
      <w:pPr>
        <w:pStyle w:val="ForsideUnderoverskriftSmall"/>
        <w:tabs>
          <w:tab w:val="clear" w:pos="454"/>
        </w:tabs>
        <w:ind w:left="0"/>
        <w:rPr>
          <w:color w:val="auto"/>
          <w:sz w:val="44"/>
          <w:szCs w:val="44"/>
        </w:rPr>
      </w:pPr>
    </w:p>
    <w:p w14:paraId="759448A1" w14:textId="30BAB4B9" w:rsidR="003F2142" w:rsidRPr="00725EBF" w:rsidRDefault="003F2142">
      <w:pPr>
        <w:rPr>
          <w:b/>
          <w:color w:val="FF0000"/>
        </w:rPr>
        <w:sectPr w:rsidR="003F2142" w:rsidRPr="00725EBF" w:rsidSect="00C20AF6">
          <w:headerReference w:type="even" r:id="rId8"/>
          <w:headerReference w:type="default" r:id="rId9"/>
          <w:headerReference w:type="first" r:id="rId10"/>
          <w:pgSz w:w="11906" w:h="16838" w:code="9"/>
          <w:pgMar w:top="1758" w:right="851" w:bottom="1928" w:left="1985" w:header="567" w:footer="584" w:gutter="0"/>
          <w:pgNumType w:start="1"/>
          <w:cols w:space="708"/>
          <w:titlePg/>
          <w:docGrid w:linePitch="360"/>
        </w:sectPr>
      </w:pPr>
    </w:p>
    <w:bookmarkStart w:id="0" w:name="_Toc514319611" w:displacedByCustomXml="next"/>
    <w:sdt>
      <w:sdtPr>
        <w:rPr>
          <w:rFonts w:ascii="Georgia" w:eastAsiaTheme="minorHAnsi" w:hAnsi="Georgia" w:cstheme="minorBidi"/>
          <w:bCs w:val="0"/>
          <w:sz w:val="19"/>
          <w:szCs w:val="19"/>
        </w:rPr>
        <w:id w:val="1558055750"/>
        <w:docPartObj>
          <w:docPartGallery w:val="Table of Contents"/>
          <w:docPartUnique/>
        </w:docPartObj>
      </w:sdtPr>
      <w:sdtEndPr>
        <w:rPr>
          <w:b/>
        </w:rPr>
      </w:sdtEndPr>
      <w:sdtContent>
        <w:p w14:paraId="5C937D8F" w14:textId="6F119C0C" w:rsidR="00C20AF6" w:rsidRPr="005E0E5F" w:rsidRDefault="00C20AF6">
          <w:pPr>
            <w:pStyle w:val="Overskrift"/>
            <w:rPr>
              <w:color w:val="auto"/>
            </w:rPr>
          </w:pPr>
          <w:r w:rsidRPr="005E0E5F">
            <w:rPr>
              <w:color w:val="auto"/>
            </w:rPr>
            <w:t>Indhold</w:t>
          </w:r>
        </w:p>
        <w:p w14:paraId="7F564EC3" w14:textId="112A6486" w:rsidR="00332DE0" w:rsidRDefault="00C20AF6">
          <w:pPr>
            <w:pStyle w:val="Indholdsfortegnelse1"/>
            <w:rPr>
              <w:rFonts w:asciiTheme="minorHAnsi" w:eastAsiaTheme="minorEastAsia" w:hAnsiTheme="minorHAnsi"/>
              <w:b w:val="0"/>
              <w:noProof/>
              <w:color w:val="auto"/>
              <w:sz w:val="22"/>
              <w:szCs w:val="22"/>
              <w:lang w:eastAsia="da-DK"/>
            </w:rPr>
          </w:pPr>
          <w:r>
            <w:rPr>
              <w:bCs/>
            </w:rPr>
            <w:fldChar w:fldCharType="begin"/>
          </w:r>
          <w:r>
            <w:rPr>
              <w:bCs/>
            </w:rPr>
            <w:instrText xml:space="preserve"> TOC \o "1-3" \h \z \u </w:instrText>
          </w:r>
          <w:r>
            <w:rPr>
              <w:bCs/>
            </w:rPr>
            <w:fldChar w:fldCharType="separate"/>
          </w:r>
          <w:hyperlink w:anchor="_Toc19280582" w:history="1">
            <w:r w:rsidR="00332DE0" w:rsidRPr="00A96CCD">
              <w:rPr>
                <w:rStyle w:val="Hyperlink"/>
                <w:noProof/>
              </w:rPr>
              <w:t>1. Fælles kontoplan for de videregående uddannelsesinstitutioner</w:t>
            </w:r>
            <w:r w:rsidR="00332DE0">
              <w:rPr>
                <w:noProof/>
                <w:webHidden/>
              </w:rPr>
              <w:tab/>
            </w:r>
            <w:r w:rsidR="00332DE0">
              <w:rPr>
                <w:noProof/>
                <w:webHidden/>
              </w:rPr>
              <w:fldChar w:fldCharType="begin"/>
            </w:r>
            <w:r w:rsidR="00332DE0">
              <w:rPr>
                <w:noProof/>
                <w:webHidden/>
              </w:rPr>
              <w:instrText xml:space="preserve"> PAGEREF _Toc19280582 \h </w:instrText>
            </w:r>
            <w:r w:rsidR="00332DE0">
              <w:rPr>
                <w:noProof/>
                <w:webHidden/>
              </w:rPr>
            </w:r>
            <w:r w:rsidR="00332DE0">
              <w:rPr>
                <w:noProof/>
                <w:webHidden/>
              </w:rPr>
              <w:fldChar w:fldCharType="separate"/>
            </w:r>
            <w:r w:rsidR="00332DE0">
              <w:rPr>
                <w:noProof/>
                <w:webHidden/>
              </w:rPr>
              <w:t>3</w:t>
            </w:r>
            <w:r w:rsidR="00332DE0">
              <w:rPr>
                <w:noProof/>
                <w:webHidden/>
              </w:rPr>
              <w:fldChar w:fldCharType="end"/>
            </w:r>
          </w:hyperlink>
        </w:p>
        <w:p w14:paraId="2D187EC9" w14:textId="656292C0" w:rsidR="00332DE0" w:rsidRDefault="00332DE0">
          <w:pPr>
            <w:pStyle w:val="Indholdsfortegnelse1"/>
            <w:tabs>
              <w:tab w:val="left" w:pos="567"/>
            </w:tabs>
            <w:rPr>
              <w:rFonts w:asciiTheme="minorHAnsi" w:eastAsiaTheme="minorEastAsia" w:hAnsiTheme="minorHAnsi"/>
              <w:b w:val="0"/>
              <w:noProof/>
              <w:color w:val="auto"/>
              <w:sz w:val="22"/>
              <w:szCs w:val="22"/>
              <w:lang w:eastAsia="da-DK"/>
            </w:rPr>
          </w:pPr>
          <w:hyperlink w:anchor="_Toc19280583" w:history="1">
            <w:r w:rsidRPr="00A96CCD">
              <w:rPr>
                <w:rStyle w:val="Hyperlink"/>
                <w:noProof/>
              </w:rPr>
              <w:t>2. Artsdimension – statens kontoplan</w:t>
            </w:r>
            <w:r>
              <w:rPr>
                <w:noProof/>
                <w:webHidden/>
              </w:rPr>
              <w:tab/>
            </w:r>
            <w:r>
              <w:rPr>
                <w:noProof/>
                <w:webHidden/>
              </w:rPr>
              <w:fldChar w:fldCharType="begin"/>
            </w:r>
            <w:r>
              <w:rPr>
                <w:noProof/>
                <w:webHidden/>
              </w:rPr>
              <w:instrText xml:space="preserve"> PAGEREF _Toc19280583 \h </w:instrText>
            </w:r>
            <w:r>
              <w:rPr>
                <w:noProof/>
                <w:webHidden/>
              </w:rPr>
            </w:r>
            <w:r>
              <w:rPr>
                <w:noProof/>
                <w:webHidden/>
              </w:rPr>
              <w:fldChar w:fldCharType="separate"/>
            </w:r>
            <w:r>
              <w:rPr>
                <w:noProof/>
                <w:webHidden/>
              </w:rPr>
              <w:t>6</w:t>
            </w:r>
            <w:r>
              <w:rPr>
                <w:noProof/>
                <w:webHidden/>
              </w:rPr>
              <w:fldChar w:fldCharType="end"/>
            </w:r>
          </w:hyperlink>
        </w:p>
        <w:p w14:paraId="1FC4A6E2" w14:textId="54F91AD3" w:rsidR="00332DE0" w:rsidRDefault="00332DE0">
          <w:pPr>
            <w:pStyle w:val="Indholdsfortegnelse1"/>
            <w:tabs>
              <w:tab w:val="left" w:pos="567"/>
            </w:tabs>
            <w:rPr>
              <w:rFonts w:asciiTheme="minorHAnsi" w:eastAsiaTheme="minorEastAsia" w:hAnsiTheme="minorHAnsi"/>
              <w:b w:val="0"/>
              <w:noProof/>
              <w:color w:val="auto"/>
              <w:sz w:val="22"/>
              <w:szCs w:val="22"/>
              <w:lang w:eastAsia="da-DK"/>
            </w:rPr>
          </w:pPr>
          <w:hyperlink w:anchor="_Toc19280584" w:history="1">
            <w:r w:rsidRPr="00A96CCD">
              <w:rPr>
                <w:rStyle w:val="Hyperlink"/>
                <w:noProof/>
              </w:rPr>
              <w:t>3. Delregnskab</w:t>
            </w:r>
            <w:r>
              <w:rPr>
                <w:noProof/>
                <w:webHidden/>
              </w:rPr>
              <w:tab/>
            </w:r>
            <w:r>
              <w:rPr>
                <w:noProof/>
                <w:webHidden/>
              </w:rPr>
              <w:fldChar w:fldCharType="begin"/>
            </w:r>
            <w:r>
              <w:rPr>
                <w:noProof/>
                <w:webHidden/>
              </w:rPr>
              <w:instrText xml:space="preserve"> PAGEREF _Toc19280584 \h </w:instrText>
            </w:r>
            <w:r>
              <w:rPr>
                <w:noProof/>
                <w:webHidden/>
              </w:rPr>
            </w:r>
            <w:r>
              <w:rPr>
                <w:noProof/>
                <w:webHidden/>
              </w:rPr>
              <w:fldChar w:fldCharType="separate"/>
            </w:r>
            <w:r>
              <w:rPr>
                <w:noProof/>
                <w:webHidden/>
              </w:rPr>
              <w:t>7</w:t>
            </w:r>
            <w:r>
              <w:rPr>
                <w:noProof/>
                <w:webHidden/>
              </w:rPr>
              <w:fldChar w:fldCharType="end"/>
            </w:r>
          </w:hyperlink>
        </w:p>
        <w:p w14:paraId="5642F8FA" w14:textId="69CC55CC" w:rsidR="00332DE0" w:rsidRDefault="00332DE0">
          <w:pPr>
            <w:pStyle w:val="Indholdsfortegnelse1"/>
            <w:rPr>
              <w:rFonts w:asciiTheme="minorHAnsi" w:eastAsiaTheme="minorEastAsia" w:hAnsiTheme="minorHAnsi"/>
              <w:b w:val="0"/>
              <w:noProof/>
              <w:color w:val="auto"/>
              <w:sz w:val="22"/>
              <w:szCs w:val="22"/>
              <w:lang w:eastAsia="da-DK"/>
            </w:rPr>
          </w:pPr>
          <w:hyperlink w:anchor="_Toc19280585" w:history="1">
            <w:r w:rsidRPr="00A96CCD">
              <w:rPr>
                <w:rStyle w:val="Hyperlink"/>
                <w:noProof/>
              </w:rPr>
              <w:t>4. Steddimension</w:t>
            </w:r>
            <w:r>
              <w:rPr>
                <w:noProof/>
                <w:webHidden/>
              </w:rPr>
              <w:tab/>
            </w:r>
            <w:r>
              <w:rPr>
                <w:noProof/>
                <w:webHidden/>
              </w:rPr>
              <w:fldChar w:fldCharType="begin"/>
            </w:r>
            <w:r>
              <w:rPr>
                <w:noProof/>
                <w:webHidden/>
              </w:rPr>
              <w:instrText xml:space="preserve"> PAGEREF _Toc19280585 \h </w:instrText>
            </w:r>
            <w:r>
              <w:rPr>
                <w:noProof/>
                <w:webHidden/>
              </w:rPr>
            </w:r>
            <w:r>
              <w:rPr>
                <w:noProof/>
                <w:webHidden/>
              </w:rPr>
              <w:fldChar w:fldCharType="separate"/>
            </w:r>
            <w:r>
              <w:rPr>
                <w:noProof/>
                <w:webHidden/>
              </w:rPr>
              <w:t>10</w:t>
            </w:r>
            <w:r>
              <w:rPr>
                <w:noProof/>
                <w:webHidden/>
              </w:rPr>
              <w:fldChar w:fldCharType="end"/>
            </w:r>
          </w:hyperlink>
        </w:p>
        <w:p w14:paraId="62567698" w14:textId="1ADD839C" w:rsidR="00332DE0" w:rsidRDefault="00332DE0">
          <w:pPr>
            <w:pStyle w:val="Indholdsfortegnelse1"/>
            <w:tabs>
              <w:tab w:val="left" w:pos="567"/>
            </w:tabs>
            <w:rPr>
              <w:rFonts w:asciiTheme="minorHAnsi" w:eastAsiaTheme="minorEastAsia" w:hAnsiTheme="minorHAnsi"/>
              <w:b w:val="0"/>
              <w:noProof/>
              <w:color w:val="auto"/>
              <w:sz w:val="22"/>
              <w:szCs w:val="22"/>
              <w:lang w:eastAsia="da-DK"/>
            </w:rPr>
          </w:pPr>
          <w:hyperlink w:anchor="_Toc19280586" w:history="1">
            <w:r w:rsidRPr="00A96CCD">
              <w:rPr>
                <w:rStyle w:val="Hyperlink"/>
                <w:noProof/>
              </w:rPr>
              <w:t>5. Formålsdimension</w:t>
            </w:r>
            <w:r>
              <w:rPr>
                <w:noProof/>
                <w:webHidden/>
              </w:rPr>
              <w:tab/>
            </w:r>
            <w:r>
              <w:rPr>
                <w:noProof/>
                <w:webHidden/>
              </w:rPr>
              <w:fldChar w:fldCharType="begin"/>
            </w:r>
            <w:r>
              <w:rPr>
                <w:noProof/>
                <w:webHidden/>
              </w:rPr>
              <w:instrText xml:space="preserve"> PAGEREF _Toc19280586 \h </w:instrText>
            </w:r>
            <w:r>
              <w:rPr>
                <w:noProof/>
                <w:webHidden/>
              </w:rPr>
            </w:r>
            <w:r>
              <w:rPr>
                <w:noProof/>
                <w:webHidden/>
              </w:rPr>
              <w:fldChar w:fldCharType="separate"/>
            </w:r>
            <w:r>
              <w:rPr>
                <w:noProof/>
                <w:webHidden/>
              </w:rPr>
              <w:t>12</w:t>
            </w:r>
            <w:r>
              <w:rPr>
                <w:noProof/>
                <w:webHidden/>
              </w:rPr>
              <w:fldChar w:fldCharType="end"/>
            </w:r>
          </w:hyperlink>
        </w:p>
        <w:p w14:paraId="2A109503" w14:textId="328EE515" w:rsidR="00332DE0" w:rsidRDefault="00332DE0">
          <w:pPr>
            <w:pStyle w:val="Indholdsfortegnelse1"/>
            <w:rPr>
              <w:rFonts w:asciiTheme="minorHAnsi" w:eastAsiaTheme="minorEastAsia" w:hAnsiTheme="minorHAnsi"/>
              <w:b w:val="0"/>
              <w:noProof/>
              <w:color w:val="auto"/>
              <w:sz w:val="22"/>
              <w:szCs w:val="22"/>
              <w:lang w:eastAsia="da-DK"/>
            </w:rPr>
          </w:pPr>
          <w:hyperlink w:anchor="_Toc19280587" w:history="1">
            <w:r w:rsidRPr="00A96CCD">
              <w:rPr>
                <w:rStyle w:val="Hyperlink"/>
                <w:noProof/>
              </w:rPr>
              <w:t>6. Retningslinjer for fordeling af formål til delformål</w:t>
            </w:r>
            <w:r>
              <w:rPr>
                <w:noProof/>
                <w:webHidden/>
              </w:rPr>
              <w:tab/>
            </w:r>
            <w:r>
              <w:rPr>
                <w:noProof/>
                <w:webHidden/>
              </w:rPr>
              <w:fldChar w:fldCharType="begin"/>
            </w:r>
            <w:r>
              <w:rPr>
                <w:noProof/>
                <w:webHidden/>
              </w:rPr>
              <w:instrText xml:space="preserve"> PAGEREF _Toc19280587 \h </w:instrText>
            </w:r>
            <w:r>
              <w:rPr>
                <w:noProof/>
                <w:webHidden/>
              </w:rPr>
            </w:r>
            <w:r>
              <w:rPr>
                <w:noProof/>
                <w:webHidden/>
              </w:rPr>
              <w:fldChar w:fldCharType="separate"/>
            </w:r>
            <w:r>
              <w:rPr>
                <w:noProof/>
                <w:webHidden/>
              </w:rPr>
              <w:t>21</w:t>
            </w:r>
            <w:r>
              <w:rPr>
                <w:noProof/>
                <w:webHidden/>
              </w:rPr>
              <w:fldChar w:fldCharType="end"/>
            </w:r>
          </w:hyperlink>
        </w:p>
        <w:p w14:paraId="3F783A4E" w14:textId="75046248" w:rsidR="00332DE0" w:rsidRDefault="00332DE0">
          <w:pPr>
            <w:pStyle w:val="Indholdsfortegnelse1"/>
            <w:rPr>
              <w:rFonts w:asciiTheme="minorHAnsi" w:eastAsiaTheme="minorEastAsia" w:hAnsiTheme="minorHAnsi"/>
              <w:b w:val="0"/>
              <w:noProof/>
              <w:color w:val="auto"/>
              <w:sz w:val="22"/>
              <w:szCs w:val="22"/>
              <w:lang w:eastAsia="da-DK"/>
            </w:rPr>
          </w:pPr>
          <w:hyperlink w:anchor="_Toc19280590" w:history="1">
            <w:r w:rsidRPr="00A96CCD">
              <w:rPr>
                <w:rStyle w:val="Hyperlink"/>
                <w:noProof/>
              </w:rPr>
              <w:t>7. Revision</w:t>
            </w:r>
            <w:r>
              <w:rPr>
                <w:noProof/>
                <w:webHidden/>
              </w:rPr>
              <w:tab/>
            </w:r>
            <w:r>
              <w:rPr>
                <w:noProof/>
                <w:webHidden/>
              </w:rPr>
              <w:fldChar w:fldCharType="begin"/>
            </w:r>
            <w:r>
              <w:rPr>
                <w:noProof/>
                <w:webHidden/>
              </w:rPr>
              <w:instrText xml:space="preserve"> PAGEREF _Toc19280590 \h </w:instrText>
            </w:r>
            <w:r>
              <w:rPr>
                <w:noProof/>
                <w:webHidden/>
              </w:rPr>
            </w:r>
            <w:r>
              <w:rPr>
                <w:noProof/>
                <w:webHidden/>
              </w:rPr>
              <w:fldChar w:fldCharType="separate"/>
            </w:r>
            <w:r>
              <w:rPr>
                <w:noProof/>
                <w:webHidden/>
              </w:rPr>
              <w:t>25</w:t>
            </w:r>
            <w:r>
              <w:rPr>
                <w:noProof/>
                <w:webHidden/>
              </w:rPr>
              <w:fldChar w:fldCharType="end"/>
            </w:r>
          </w:hyperlink>
        </w:p>
        <w:p w14:paraId="02619210" w14:textId="1879D595" w:rsidR="00332DE0" w:rsidRDefault="00332DE0">
          <w:pPr>
            <w:pStyle w:val="Indholdsfortegnelse1"/>
            <w:rPr>
              <w:rFonts w:asciiTheme="minorHAnsi" w:eastAsiaTheme="minorEastAsia" w:hAnsiTheme="minorHAnsi"/>
              <w:b w:val="0"/>
              <w:noProof/>
              <w:color w:val="auto"/>
              <w:sz w:val="22"/>
              <w:szCs w:val="22"/>
              <w:lang w:eastAsia="da-DK"/>
            </w:rPr>
          </w:pPr>
          <w:hyperlink w:anchor="_Toc19280591" w:history="1">
            <w:r w:rsidRPr="00A96CCD">
              <w:rPr>
                <w:rStyle w:val="Hyperlink"/>
                <w:noProof/>
              </w:rPr>
              <w:t>8. Rapportering</w:t>
            </w:r>
            <w:r>
              <w:rPr>
                <w:noProof/>
                <w:webHidden/>
              </w:rPr>
              <w:tab/>
            </w:r>
            <w:r>
              <w:rPr>
                <w:noProof/>
                <w:webHidden/>
              </w:rPr>
              <w:fldChar w:fldCharType="begin"/>
            </w:r>
            <w:r>
              <w:rPr>
                <w:noProof/>
                <w:webHidden/>
              </w:rPr>
              <w:instrText xml:space="preserve"> PAGEREF _Toc19280591 \h </w:instrText>
            </w:r>
            <w:r>
              <w:rPr>
                <w:noProof/>
                <w:webHidden/>
              </w:rPr>
            </w:r>
            <w:r>
              <w:rPr>
                <w:noProof/>
                <w:webHidden/>
              </w:rPr>
              <w:fldChar w:fldCharType="separate"/>
            </w:r>
            <w:r>
              <w:rPr>
                <w:noProof/>
                <w:webHidden/>
              </w:rPr>
              <w:t>26</w:t>
            </w:r>
            <w:r>
              <w:rPr>
                <w:noProof/>
                <w:webHidden/>
              </w:rPr>
              <w:fldChar w:fldCharType="end"/>
            </w:r>
          </w:hyperlink>
        </w:p>
        <w:p w14:paraId="742D2D7A" w14:textId="5A9B8C09" w:rsidR="00332DE0" w:rsidRDefault="00332DE0">
          <w:pPr>
            <w:pStyle w:val="Indholdsfortegnelse1"/>
            <w:rPr>
              <w:rFonts w:asciiTheme="minorHAnsi" w:eastAsiaTheme="minorEastAsia" w:hAnsiTheme="minorHAnsi"/>
              <w:b w:val="0"/>
              <w:noProof/>
              <w:color w:val="auto"/>
              <w:sz w:val="22"/>
              <w:szCs w:val="22"/>
              <w:lang w:eastAsia="da-DK"/>
            </w:rPr>
          </w:pPr>
          <w:hyperlink w:anchor="_Toc19280592" w:history="1">
            <w:r w:rsidRPr="00A96CCD">
              <w:rPr>
                <w:rStyle w:val="Hyperlink"/>
                <w:noProof/>
              </w:rPr>
              <w:t>Bilag 1. Omfattede institutioner</w:t>
            </w:r>
            <w:r>
              <w:rPr>
                <w:noProof/>
                <w:webHidden/>
              </w:rPr>
              <w:tab/>
            </w:r>
            <w:r>
              <w:rPr>
                <w:noProof/>
                <w:webHidden/>
              </w:rPr>
              <w:fldChar w:fldCharType="begin"/>
            </w:r>
            <w:r>
              <w:rPr>
                <w:noProof/>
                <w:webHidden/>
              </w:rPr>
              <w:instrText xml:space="preserve"> PAGEREF _Toc19280592 \h </w:instrText>
            </w:r>
            <w:r>
              <w:rPr>
                <w:noProof/>
                <w:webHidden/>
              </w:rPr>
            </w:r>
            <w:r>
              <w:rPr>
                <w:noProof/>
                <w:webHidden/>
              </w:rPr>
              <w:fldChar w:fldCharType="separate"/>
            </w:r>
            <w:r>
              <w:rPr>
                <w:noProof/>
                <w:webHidden/>
              </w:rPr>
              <w:t>27</w:t>
            </w:r>
            <w:r>
              <w:rPr>
                <w:noProof/>
                <w:webHidden/>
              </w:rPr>
              <w:fldChar w:fldCharType="end"/>
            </w:r>
          </w:hyperlink>
        </w:p>
        <w:p w14:paraId="04368DF9" w14:textId="3EEF3EDF" w:rsidR="00332DE0" w:rsidRDefault="00332DE0">
          <w:pPr>
            <w:pStyle w:val="Indholdsfortegnelse1"/>
            <w:rPr>
              <w:rFonts w:asciiTheme="minorHAnsi" w:eastAsiaTheme="minorEastAsia" w:hAnsiTheme="minorHAnsi"/>
              <w:b w:val="0"/>
              <w:noProof/>
              <w:color w:val="auto"/>
              <w:sz w:val="22"/>
              <w:szCs w:val="22"/>
              <w:lang w:eastAsia="da-DK"/>
            </w:rPr>
          </w:pPr>
          <w:hyperlink w:anchor="_Toc19280593" w:history="1">
            <w:r w:rsidRPr="00A96CCD">
              <w:rPr>
                <w:rStyle w:val="Hyperlink"/>
                <w:noProof/>
              </w:rPr>
              <w:t>Bilag 2. Lovgrundlag</w:t>
            </w:r>
            <w:r>
              <w:rPr>
                <w:noProof/>
                <w:webHidden/>
              </w:rPr>
              <w:tab/>
            </w:r>
            <w:r>
              <w:rPr>
                <w:noProof/>
                <w:webHidden/>
              </w:rPr>
              <w:fldChar w:fldCharType="begin"/>
            </w:r>
            <w:r>
              <w:rPr>
                <w:noProof/>
                <w:webHidden/>
              </w:rPr>
              <w:instrText xml:space="preserve"> PAGEREF _Toc19280593 \h </w:instrText>
            </w:r>
            <w:r>
              <w:rPr>
                <w:noProof/>
                <w:webHidden/>
              </w:rPr>
            </w:r>
            <w:r>
              <w:rPr>
                <w:noProof/>
                <w:webHidden/>
              </w:rPr>
              <w:fldChar w:fldCharType="separate"/>
            </w:r>
            <w:r>
              <w:rPr>
                <w:noProof/>
                <w:webHidden/>
              </w:rPr>
              <w:t>28</w:t>
            </w:r>
            <w:r>
              <w:rPr>
                <w:noProof/>
                <w:webHidden/>
              </w:rPr>
              <w:fldChar w:fldCharType="end"/>
            </w:r>
          </w:hyperlink>
        </w:p>
        <w:p w14:paraId="2144BB48" w14:textId="29D8DB00" w:rsidR="00C20AF6" w:rsidRDefault="00C20AF6">
          <w:r>
            <w:rPr>
              <w:b/>
              <w:bCs/>
            </w:rPr>
            <w:fldChar w:fldCharType="end"/>
          </w:r>
        </w:p>
      </w:sdtContent>
    </w:sdt>
    <w:p w14:paraId="47276929" w14:textId="77777777" w:rsidR="00C20AF6" w:rsidRDefault="00C20AF6">
      <w:pPr>
        <w:tabs>
          <w:tab w:val="clear" w:pos="454"/>
        </w:tabs>
        <w:rPr>
          <w:rFonts w:ascii="Calibri" w:eastAsiaTheme="majorEastAsia" w:hAnsi="Calibri" w:cstheme="majorBidi"/>
          <w:bCs/>
          <w:color w:val="auto"/>
          <w:sz w:val="74"/>
          <w:szCs w:val="28"/>
        </w:rPr>
      </w:pPr>
      <w:r>
        <w:rPr>
          <w:color w:val="auto"/>
        </w:rPr>
        <w:br w:type="page"/>
      </w:r>
      <w:bookmarkStart w:id="1" w:name="_GoBack"/>
      <w:bookmarkEnd w:id="1"/>
    </w:p>
    <w:p w14:paraId="54B33F06" w14:textId="3CDEB736" w:rsidR="008C6EAC" w:rsidRPr="005E0E5F" w:rsidRDefault="00697964" w:rsidP="008C6EAC">
      <w:pPr>
        <w:pStyle w:val="Overskrift1"/>
        <w:rPr>
          <w:color w:val="auto"/>
        </w:rPr>
      </w:pPr>
      <w:bookmarkStart w:id="2" w:name="_Toc19280582"/>
      <w:r w:rsidRPr="005E0E5F">
        <w:rPr>
          <w:color w:val="auto"/>
        </w:rPr>
        <w:lastRenderedPageBreak/>
        <w:t>F</w:t>
      </w:r>
      <w:r w:rsidR="00616AF5" w:rsidRPr="005E0E5F">
        <w:rPr>
          <w:color w:val="auto"/>
        </w:rPr>
        <w:t>ælles kontoplan for de videregående uddannelsesinstitutioner</w:t>
      </w:r>
      <w:bookmarkEnd w:id="0"/>
      <w:bookmarkEnd w:id="2"/>
    </w:p>
    <w:p w14:paraId="2D8F482C" w14:textId="77777777" w:rsidR="00D540C3" w:rsidRDefault="00D540C3" w:rsidP="00A332D7">
      <w:pPr>
        <w:rPr>
          <w:color w:val="auto"/>
        </w:rPr>
      </w:pPr>
    </w:p>
    <w:p w14:paraId="6ECB20AC" w14:textId="5BF424AC" w:rsidR="00A332D7" w:rsidRDefault="00A332D7" w:rsidP="00A332D7">
      <w:pPr>
        <w:rPr>
          <w:color w:val="auto"/>
        </w:rPr>
      </w:pPr>
      <w:r>
        <w:rPr>
          <w:color w:val="auto"/>
        </w:rPr>
        <w:t xml:space="preserve">Formålet med </w:t>
      </w:r>
      <w:r w:rsidR="00563525">
        <w:rPr>
          <w:color w:val="auto"/>
        </w:rPr>
        <w:t>vejledningen</w:t>
      </w:r>
      <w:r>
        <w:rPr>
          <w:color w:val="auto"/>
        </w:rPr>
        <w:t xml:space="preserve"> er at give bestemmelser om </w:t>
      </w:r>
    </w:p>
    <w:p w14:paraId="01B1621F" w14:textId="7AD5E081" w:rsidR="00A332D7" w:rsidRPr="00CB1335" w:rsidRDefault="00A332D7" w:rsidP="00037676">
      <w:pPr>
        <w:pStyle w:val="Listeafsnit"/>
        <w:numPr>
          <w:ilvl w:val="0"/>
          <w:numId w:val="10"/>
        </w:numPr>
        <w:tabs>
          <w:tab w:val="clear" w:pos="454"/>
          <w:tab w:val="left" w:pos="1134"/>
        </w:tabs>
        <w:spacing w:before="120"/>
        <w:ind w:left="142" w:hanging="142"/>
        <w:contextualSpacing w:val="0"/>
        <w:rPr>
          <w:color w:val="auto"/>
        </w:rPr>
      </w:pPr>
      <w:r>
        <w:rPr>
          <w:color w:val="auto"/>
        </w:rPr>
        <w:t>regnskabs</w:t>
      </w:r>
      <w:r w:rsidRPr="00CB1335">
        <w:rPr>
          <w:color w:val="auto"/>
        </w:rPr>
        <w:t>registrering af driftsposteringer på dimensioner</w:t>
      </w:r>
      <w:r>
        <w:rPr>
          <w:color w:val="auto"/>
        </w:rPr>
        <w:t>ne</w:t>
      </w:r>
      <w:r w:rsidR="004A780D">
        <w:rPr>
          <w:color w:val="auto"/>
        </w:rPr>
        <w:t xml:space="preserve"> art, delregnskab, sted og formål</w:t>
      </w:r>
      <w:r w:rsidRPr="00CB1335">
        <w:rPr>
          <w:i/>
          <w:color w:val="auto"/>
        </w:rPr>
        <w:t xml:space="preserve"> jf. kap</w:t>
      </w:r>
      <w:r w:rsidR="004A780D">
        <w:rPr>
          <w:i/>
          <w:color w:val="auto"/>
        </w:rPr>
        <w:t>.</w:t>
      </w:r>
      <w:r w:rsidRPr="00CB1335">
        <w:rPr>
          <w:i/>
          <w:color w:val="auto"/>
        </w:rPr>
        <w:t xml:space="preserve"> 2-5</w:t>
      </w:r>
      <w:r>
        <w:rPr>
          <w:i/>
          <w:color w:val="auto"/>
        </w:rPr>
        <w:t>.</w:t>
      </w:r>
    </w:p>
    <w:p w14:paraId="6976E1BB" w14:textId="3F1FCB01" w:rsidR="00A332D7" w:rsidRPr="00CB1335" w:rsidRDefault="00A332D7" w:rsidP="00037676">
      <w:pPr>
        <w:pStyle w:val="Listeafsnit"/>
        <w:numPr>
          <w:ilvl w:val="0"/>
          <w:numId w:val="10"/>
        </w:numPr>
        <w:tabs>
          <w:tab w:val="clear" w:pos="454"/>
          <w:tab w:val="left" w:pos="1134"/>
        </w:tabs>
        <w:spacing w:before="120"/>
        <w:ind w:left="142" w:hanging="142"/>
        <w:contextualSpacing w:val="0"/>
        <w:rPr>
          <w:i/>
          <w:color w:val="auto"/>
        </w:rPr>
      </w:pPr>
      <w:r w:rsidRPr="00CB1335">
        <w:rPr>
          <w:color w:val="auto"/>
        </w:rPr>
        <w:t>fordel</w:t>
      </w:r>
      <w:r>
        <w:rPr>
          <w:color w:val="auto"/>
        </w:rPr>
        <w:t>ing</w:t>
      </w:r>
      <w:r w:rsidRPr="00CB1335">
        <w:rPr>
          <w:color w:val="auto"/>
        </w:rPr>
        <w:t xml:space="preserve"> </w:t>
      </w:r>
      <w:r w:rsidR="006637D7">
        <w:rPr>
          <w:color w:val="auto"/>
        </w:rPr>
        <w:t xml:space="preserve">af </w:t>
      </w:r>
      <w:r w:rsidRPr="00CB1335">
        <w:rPr>
          <w:color w:val="auto"/>
        </w:rPr>
        <w:t xml:space="preserve">driftsposteringer </w:t>
      </w:r>
      <w:r>
        <w:rPr>
          <w:color w:val="auto"/>
        </w:rPr>
        <w:t>på formål og delformål</w:t>
      </w:r>
      <w:r w:rsidRPr="00CB1335">
        <w:rPr>
          <w:color w:val="auto"/>
        </w:rPr>
        <w:t xml:space="preserve">, </w:t>
      </w:r>
      <w:r w:rsidRPr="00CB1335">
        <w:rPr>
          <w:i/>
          <w:color w:val="auto"/>
        </w:rPr>
        <w:t>jf. kapitel 7</w:t>
      </w:r>
      <w:r>
        <w:rPr>
          <w:i/>
          <w:color w:val="auto"/>
        </w:rPr>
        <w:t>.</w:t>
      </w:r>
    </w:p>
    <w:p w14:paraId="10BEB7AA" w14:textId="0862C449" w:rsidR="00A332D7" w:rsidRDefault="00A332D7" w:rsidP="00037676">
      <w:pPr>
        <w:pStyle w:val="Listeafsnit"/>
        <w:numPr>
          <w:ilvl w:val="0"/>
          <w:numId w:val="10"/>
        </w:numPr>
        <w:tabs>
          <w:tab w:val="clear" w:pos="454"/>
          <w:tab w:val="left" w:pos="1134"/>
        </w:tabs>
        <w:spacing w:before="120"/>
        <w:ind w:left="142" w:hanging="142"/>
        <w:contextualSpacing w:val="0"/>
        <w:rPr>
          <w:i/>
          <w:color w:val="auto"/>
        </w:rPr>
      </w:pPr>
      <w:r w:rsidRPr="00CB1335">
        <w:rPr>
          <w:color w:val="auto"/>
        </w:rPr>
        <w:t xml:space="preserve">afrapportering af driftsposteringer </w:t>
      </w:r>
      <w:r>
        <w:rPr>
          <w:color w:val="auto"/>
        </w:rPr>
        <w:t>og fordelinger på delformål samt revision</w:t>
      </w:r>
      <w:r w:rsidRPr="00CB1335">
        <w:rPr>
          <w:color w:val="auto"/>
        </w:rPr>
        <w:t xml:space="preserve">, </w:t>
      </w:r>
      <w:r w:rsidRPr="00CB1335">
        <w:rPr>
          <w:i/>
          <w:color w:val="auto"/>
        </w:rPr>
        <w:t>jf. kapitel 8 og 9.</w:t>
      </w:r>
    </w:p>
    <w:p w14:paraId="5010D96B" w14:textId="0C1987B8" w:rsidR="00554785" w:rsidRDefault="00554785" w:rsidP="00554785">
      <w:pPr>
        <w:tabs>
          <w:tab w:val="clear" w:pos="454"/>
          <w:tab w:val="left" w:pos="1134"/>
        </w:tabs>
        <w:spacing w:before="120"/>
        <w:rPr>
          <w:i/>
          <w:color w:val="auto"/>
        </w:rPr>
      </w:pPr>
    </w:p>
    <w:p w14:paraId="4A78658D" w14:textId="3E90BDD9" w:rsidR="00554785" w:rsidRPr="00554785" w:rsidRDefault="00554785" w:rsidP="00B31E69">
      <w:pPr>
        <w:rPr>
          <w:i/>
          <w:color w:val="auto"/>
        </w:rPr>
      </w:pPr>
      <w:r>
        <w:rPr>
          <w:color w:val="auto"/>
        </w:rPr>
        <w:t xml:space="preserve">Fælles Kontoplan finder anvendelse for driftsposteringer på institutionernes resultatopgørelser. Styrelsen for Institutioner og Uddannelsesstøtte </w:t>
      </w:r>
      <w:r w:rsidR="00B31E69">
        <w:rPr>
          <w:color w:val="auto"/>
        </w:rPr>
        <w:t xml:space="preserve">anbefaler at anvendelse af Fælles Kontoplan </w:t>
      </w:r>
      <w:proofErr w:type="spellStart"/>
      <w:r w:rsidR="00B31E69">
        <w:rPr>
          <w:color w:val="auto"/>
        </w:rPr>
        <w:t>indtænkes</w:t>
      </w:r>
      <w:proofErr w:type="spellEnd"/>
      <w:r w:rsidR="00B31E69">
        <w:rPr>
          <w:color w:val="auto"/>
        </w:rPr>
        <w:t xml:space="preserve"> i institutionernes posteringer på balancesiden.</w:t>
      </w:r>
    </w:p>
    <w:p w14:paraId="7F98BF28" w14:textId="77777777" w:rsidR="00A332D7" w:rsidRDefault="00A332D7" w:rsidP="00A332D7">
      <w:pPr>
        <w:pStyle w:val="Listeafsnit"/>
        <w:rPr>
          <w:color w:val="auto"/>
        </w:rPr>
      </w:pPr>
    </w:p>
    <w:p w14:paraId="21EA6FE6" w14:textId="1C052364" w:rsidR="00A332D7" w:rsidRPr="00725EBF" w:rsidRDefault="00A332D7" w:rsidP="00A332D7">
      <w:pPr>
        <w:rPr>
          <w:color w:val="auto"/>
        </w:rPr>
      </w:pPr>
      <w:r>
        <w:rPr>
          <w:color w:val="auto"/>
        </w:rPr>
        <w:t>Af</w:t>
      </w:r>
      <w:r w:rsidRPr="00725EBF">
        <w:rPr>
          <w:color w:val="auto"/>
        </w:rPr>
        <w:t xml:space="preserve">rapportering skal ske </w:t>
      </w:r>
      <w:r>
        <w:rPr>
          <w:color w:val="auto"/>
        </w:rPr>
        <w:t>digitalt samtidig med indrapportering af årsrapporter til Styrelsen for Institutioner og Uddannelsesstøtte</w:t>
      </w:r>
      <w:r w:rsidR="00137211">
        <w:rPr>
          <w:color w:val="auto"/>
        </w:rPr>
        <w:t>, jf. kap 9</w:t>
      </w:r>
      <w:r>
        <w:rPr>
          <w:color w:val="auto"/>
        </w:rPr>
        <w:t>.</w:t>
      </w:r>
      <w:r w:rsidR="00BE5334">
        <w:rPr>
          <w:color w:val="auto"/>
        </w:rPr>
        <w:t xml:space="preserve"> </w:t>
      </w:r>
      <w:r w:rsidR="00BE5334" w:rsidRPr="00BE5334">
        <w:rPr>
          <w:i/>
          <w:color w:val="auto"/>
          <w:highlight w:val="lightGray"/>
        </w:rPr>
        <w:t xml:space="preserve">[Afrapporteringsløsning udarbejdes </w:t>
      </w:r>
      <w:r w:rsidR="00554785">
        <w:rPr>
          <w:i/>
          <w:color w:val="auto"/>
          <w:highlight w:val="lightGray"/>
        </w:rPr>
        <w:t>af SIU</w:t>
      </w:r>
      <w:r w:rsidR="0049585A">
        <w:rPr>
          <w:i/>
          <w:color w:val="auto"/>
          <w:highlight w:val="lightGray"/>
        </w:rPr>
        <w:t xml:space="preserve"> efteråret 2019</w:t>
      </w:r>
      <w:r w:rsidR="00BE5334" w:rsidRPr="00BE5334">
        <w:rPr>
          <w:i/>
          <w:color w:val="auto"/>
          <w:highlight w:val="lightGray"/>
        </w:rPr>
        <w:t>]</w:t>
      </w:r>
    </w:p>
    <w:p w14:paraId="39D38287" w14:textId="77777777" w:rsidR="00A332D7" w:rsidRDefault="00A332D7" w:rsidP="00A332D7">
      <w:pPr>
        <w:rPr>
          <w:color w:val="auto"/>
        </w:rPr>
      </w:pPr>
    </w:p>
    <w:p w14:paraId="024342D3" w14:textId="26E0D00C" w:rsidR="00A332D7" w:rsidRDefault="00A332D7" w:rsidP="00A332D7">
      <w:pPr>
        <w:rPr>
          <w:i/>
          <w:color w:val="auto"/>
        </w:rPr>
      </w:pPr>
      <w:r>
        <w:rPr>
          <w:color w:val="auto"/>
        </w:rPr>
        <w:t xml:space="preserve">Nærværende </w:t>
      </w:r>
      <w:r w:rsidR="00563525">
        <w:rPr>
          <w:color w:val="auto"/>
        </w:rPr>
        <w:t>vejledning</w:t>
      </w:r>
      <w:r>
        <w:rPr>
          <w:color w:val="auto"/>
        </w:rPr>
        <w:t xml:space="preserve"> </w:t>
      </w:r>
      <w:r w:rsidR="001462D6" w:rsidRPr="0049585A">
        <w:rPr>
          <w:color w:val="auto"/>
        </w:rPr>
        <w:t>fastsættes</w:t>
      </w:r>
      <w:r w:rsidRPr="0049585A">
        <w:rPr>
          <w:color w:val="auto"/>
        </w:rPr>
        <w:t xml:space="preserve"> og offentliggøres årligt af Styrelsen for Institutioner og Uddannelsesstøtte senest 1. oktober</w:t>
      </w:r>
      <w:r w:rsidR="0049585A" w:rsidRPr="0049585A">
        <w:rPr>
          <w:color w:val="auto"/>
        </w:rPr>
        <w:t>, dog løbende for</w:t>
      </w:r>
      <w:r w:rsidR="0049585A">
        <w:rPr>
          <w:i/>
          <w:color w:val="auto"/>
        </w:rPr>
        <w:t xml:space="preserve"> </w:t>
      </w:r>
      <w:r w:rsidR="0049585A" w:rsidRPr="0049585A">
        <w:rPr>
          <w:color w:val="auto"/>
        </w:rPr>
        <w:t>større ændringer som påvirker de mere grundlæggende dele af registreringsrammen og/eller kræver ændringer i systemunderstøttelsen</w:t>
      </w:r>
      <w:r w:rsidR="0049585A">
        <w:rPr>
          <w:color w:val="auto"/>
        </w:rPr>
        <w:t>. For 2020 fastsættes vejledningen i løbet af efteråret 2019, og offentliggøres endeligt december 2019.</w:t>
      </w:r>
    </w:p>
    <w:p w14:paraId="6C8DBBDA" w14:textId="01936A8E" w:rsidR="00592266" w:rsidRDefault="00592266" w:rsidP="00A332D7">
      <w:pPr>
        <w:rPr>
          <w:i/>
          <w:color w:val="auto"/>
        </w:rPr>
      </w:pPr>
    </w:p>
    <w:p w14:paraId="319BB90F" w14:textId="1D361F5C" w:rsidR="00553D50" w:rsidRPr="00615902" w:rsidRDefault="00563525" w:rsidP="00C64769">
      <w:pPr>
        <w:rPr>
          <w:color w:val="auto"/>
        </w:rPr>
      </w:pPr>
      <w:r>
        <w:rPr>
          <w:color w:val="auto"/>
        </w:rPr>
        <w:t>Vejledningen</w:t>
      </w:r>
      <w:r w:rsidR="00553D50" w:rsidRPr="00615902">
        <w:rPr>
          <w:color w:val="auto"/>
        </w:rPr>
        <w:t xml:space="preserve"> erstatter følgende </w:t>
      </w:r>
      <w:r w:rsidR="00553D50" w:rsidRPr="0049585A">
        <w:rPr>
          <w:color w:val="auto"/>
        </w:rPr>
        <w:t>regelsæt</w:t>
      </w:r>
      <w:r w:rsidR="0049585A">
        <w:rPr>
          <w:color w:val="auto"/>
        </w:rPr>
        <w:t>,</w:t>
      </w:r>
      <w:r w:rsidR="0049585A" w:rsidRPr="0049585A">
        <w:rPr>
          <w:color w:val="auto"/>
        </w:rPr>
        <w:t xml:space="preserve"> i </w:t>
      </w:r>
      <w:r w:rsidR="00C86AF7" w:rsidRPr="0049585A">
        <w:rPr>
          <w:color w:val="auto"/>
        </w:rPr>
        <w:t xml:space="preserve">takt med </w:t>
      </w:r>
      <w:r w:rsidR="0049585A" w:rsidRPr="0049585A">
        <w:rPr>
          <w:color w:val="auto"/>
        </w:rPr>
        <w:t xml:space="preserve">at </w:t>
      </w:r>
      <w:r w:rsidR="00C86AF7" w:rsidRPr="0049585A">
        <w:rPr>
          <w:color w:val="auto"/>
        </w:rPr>
        <w:t>de videregående uddannelsesinstitutioner implementerer den fælles kontoplan</w:t>
      </w:r>
      <w:r w:rsidR="0049585A">
        <w:rPr>
          <w:color w:val="auto"/>
        </w:rPr>
        <w:t>,</w:t>
      </w:r>
      <w:r w:rsidR="00C86AF7" w:rsidRPr="0049585A">
        <w:rPr>
          <w:color w:val="auto"/>
        </w:rPr>
        <w:t xml:space="preserve"> efter aftale med styrelsen for institutioner og uddannelsesstøtte</w:t>
      </w:r>
      <w:r w:rsidR="0049585A">
        <w:rPr>
          <w:color w:val="auto"/>
        </w:rPr>
        <w:t>.</w:t>
      </w:r>
    </w:p>
    <w:p w14:paraId="3E173AF5" w14:textId="56294FD2" w:rsidR="00615902" w:rsidRPr="00CB1335" w:rsidRDefault="00615902" w:rsidP="00037676">
      <w:pPr>
        <w:pStyle w:val="Listeafsnit"/>
        <w:numPr>
          <w:ilvl w:val="0"/>
          <w:numId w:val="10"/>
        </w:numPr>
        <w:tabs>
          <w:tab w:val="clear" w:pos="454"/>
          <w:tab w:val="left" w:pos="1134"/>
        </w:tabs>
        <w:spacing w:before="120"/>
        <w:ind w:left="142" w:hanging="142"/>
        <w:contextualSpacing w:val="0"/>
        <w:rPr>
          <w:color w:val="auto"/>
        </w:rPr>
      </w:pPr>
      <w:r w:rsidRPr="00615902">
        <w:rPr>
          <w:color w:val="auto"/>
        </w:rPr>
        <w:t>Vejledning</w:t>
      </w:r>
      <w:r w:rsidR="009B5D1E" w:rsidRPr="00615902">
        <w:rPr>
          <w:color w:val="auto"/>
        </w:rPr>
        <w:t xml:space="preserve"> om hovedområde- og formålsfordeling af univers</w:t>
      </w:r>
      <w:r w:rsidRPr="00615902">
        <w:rPr>
          <w:color w:val="auto"/>
        </w:rPr>
        <w:t>iteternes omkostninger</w:t>
      </w:r>
      <w:r w:rsidR="00536E2F" w:rsidRPr="00CB1335">
        <w:rPr>
          <w:color w:val="auto"/>
        </w:rPr>
        <w:t xml:space="preserve"> </w:t>
      </w:r>
      <w:r w:rsidRPr="00CB1335">
        <w:rPr>
          <w:color w:val="auto"/>
        </w:rPr>
        <w:t>(</w:t>
      </w:r>
      <w:r w:rsidR="00536E2F" w:rsidRPr="00CB1335">
        <w:rPr>
          <w:color w:val="auto"/>
        </w:rPr>
        <w:t>2012</w:t>
      </w:r>
      <w:r w:rsidRPr="00CB1335">
        <w:rPr>
          <w:color w:val="auto"/>
        </w:rPr>
        <w:t>)</w:t>
      </w:r>
      <w:r w:rsidR="00536E2F" w:rsidRPr="00CB1335">
        <w:rPr>
          <w:color w:val="auto"/>
        </w:rPr>
        <w:t xml:space="preserve"> </w:t>
      </w:r>
    </w:p>
    <w:p w14:paraId="4F091437" w14:textId="1D93F508" w:rsidR="003B66D2" w:rsidRDefault="003B66D2" w:rsidP="003B66D2">
      <w:pPr>
        <w:tabs>
          <w:tab w:val="clear" w:pos="454"/>
          <w:tab w:val="left" w:pos="1134"/>
        </w:tabs>
        <w:spacing w:before="120"/>
        <w:rPr>
          <w:i/>
          <w:color w:val="auto"/>
          <w:highlight w:val="lightGray"/>
        </w:rPr>
      </w:pPr>
      <w:r w:rsidRPr="0049585A">
        <w:rPr>
          <w:i/>
          <w:color w:val="auto"/>
          <w:highlight w:val="lightGray"/>
        </w:rPr>
        <w:t xml:space="preserve">[SIU specificerer </w:t>
      </w:r>
      <w:r w:rsidR="0049585A">
        <w:rPr>
          <w:i/>
          <w:color w:val="auto"/>
          <w:highlight w:val="lightGray"/>
        </w:rPr>
        <w:t xml:space="preserve">i efteråret 2019 </w:t>
      </w:r>
      <w:r w:rsidRPr="0049585A">
        <w:rPr>
          <w:i/>
          <w:color w:val="auto"/>
          <w:highlight w:val="lightGray"/>
        </w:rPr>
        <w:t>forskellen mellem den nuværende vejledning om hovedområde- og formålsfordeling af universiteternes omkostninger (2012) og den fælles kontoplan]</w:t>
      </w:r>
    </w:p>
    <w:p w14:paraId="1C3D9FEC" w14:textId="77777777" w:rsidR="00615902" w:rsidRPr="00CB1335" w:rsidRDefault="00615902" w:rsidP="00037676">
      <w:pPr>
        <w:pStyle w:val="Listeafsnit"/>
        <w:numPr>
          <w:ilvl w:val="0"/>
          <w:numId w:val="10"/>
        </w:numPr>
        <w:tabs>
          <w:tab w:val="clear" w:pos="454"/>
          <w:tab w:val="left" w:pos="1134"/>
        </w:tabs>
        <w:spacing w:before="120"/>
        <w:ind w:left="142" w:hanging="142"/>
        <w:contextualSpacing w:val="0"/>
        <w:rPr>
          <w:color w:val="auto"/>
        </w:rPr>
      </w:pPr>
      <w:r w:rsidRPr="00CB1335">
        <w:rPr>
          <w:color w:val="auto"/>
        </w:rPr>
        <w:t>Vejledning om udarbejdelse af årsrapport</w:t>
      </w:r>
      <w:r>
        <w:rPr>
          <w:color w:val="auto"/>
        </w:rPr>
        <w:t xml:space="preserve"> </w:t>
      </w:r>
      <w:r w:rsidRPr="00615902">
        <w:rPr>
          <w:color w:val="auto"/>
        </w:rPr>
        <w:t>for erhvervsakademier og professionshøjskoler</w:t>
      </w:r>
      <w:r>
        <w:rPr>
          <w:color w:val="auto"/>
        </w:rPr>
        <w:t xml:space="preserve"> (2017)</w:t>
      </w:r>
    </w:p>
    <w:p w14:paraId="70960F3B" w14:textId="77777777" w:rsidR="0049585A" w:rsidRPr="0049585A" w:rsidRDefault="0049585A" w:rsidP="0049585A">
      <w:pPr>
        <w:tabs>
          <w:tab w:val="clear" w:pos="454"/>
          <w:tab w:val="left" w:pos="1134"/>
        </w:tabs>
        <w:spacing w:before="120"/>
        <w:rPr>
          <w:i/>
          <w:color w:val="auto"/>
          <w:highlight w:val="lightGray"/>
        </w:rPr>
      </w:pPr>
      <w:r w:rsidRPr="0049585A">
        <w:rPr>
          <w:i/>
          <w:color w:val="auto"/>
          <w:highlight w:val="lightGray"/>
        </w:rPr>
        <w:t xml:space="preserve">[Paradigme og vejleding for årsrapport </w:t>
      </w:r>
      <w:r w:rsidRPr="00B62A09">
        <w:rPr>
          <w:i/>
          <w:color w:val="auto"/>
          <w:highlight w:val="lightGray"/>
        </w:rPr>
        <w:t xml:space="preserve">for professionshøjskoler og erhvervsakademier </w:t>
      </w:r>
      <w:r w:rsidRPr="0049585A">
        <w:rPr>
          <w:i/>
          <w:color w:val="auto"/>
          <w:highlight w:val="lightGray"/>
        </w:rPr>
        <w:t>aflagt efter Fælles Kontoplan udarbejdes på pilotbasis af SIU i efteråret 2019]</w:t>
      </w:r>
    </w:p>
    <w:p w14:paraId="6DE0BEBB" w14:textId="7097E9C7" w:rsidR="00C64769" w:rsidRPr="00C86AF7" w:rsidRDefault="004B15B3" w:rsidP="00C86AF7">
      <w:pPr>
        <w:tabs>
          <w:tab w:val="clear" w:pos="454"/>
          <w:tab w:val="left" w:pos="1134"/>
        </w:tabs>
        <w:spacing w:before="120"/>
        <w:rPr>
          <w:i/>
          <w:color w:val="auto"/>
        </w:rPr>
      </w:pPr>
      <w:r w:rsidRPr="00C86AF7">
        <w:rPr>
          <w:i/>
          <w:color w:val="auto"/>
          <w:highlight w:val="lightGray"/>
        </w:rPr>
        <w:t>[</w:t>
      </w:r>
      <w:r w:rsidR="0049585A">
        <w:rPr>
          <w:i/>
          <w:color w:val="auto"/>
          <w:highlight w:val="lightGray"/>
        </w:rPr>
        <w:t>Eventuel e</w:t>
      </w:r>
      <w:r w:rsidR="00C86AF7" w:rsidRPr="00C86AF7">
        <w:rPr>
          <w:i/>
          <w:color w:val="auto"/>
          <w:highlight w:val="lightGray"/>
        </w:rPr>
        <w:t>rstatning af k</w:t>
      </w:r>
      <w:r w:rsidR="00615902" w:rsidRPr="00C86AF7">
        <w:rPr>
          <w:i/>
          <w:color w:val="auto"/>
          <w:highlight w:val="lightGray"/>
        </w:rPr>
        <w:t>rav og regler i forbindelse med afrapporteringer til eksterne parter</w:t>
      </w:r>
      <w:r w:rsidR="00C86AF7" w:rsidRPr="00C86AF7">
        <w:rPr>
          <w:i/>
          <w:color w:val="auto"/>
          <w:highlight w:val="lightGray"/>
        </w:rPr>
        <w:t>, afklares 2020 eller 2021</w:t>
      </w:r>
      <w:r w:rsidRPr="00C86AF7">
        <w:rPr>
          <w:i/>
          <w:color w:val="auto"/>
          <w:highlight w:val="lightGray"/>
        </w:rPr>
        <w:t>]</w:t>
      </w:r>
    </w:p>
    <w:p w14:paraId="6201F1E9" w14:textId="77777777" w:rsidR="006D3AD1" w:rsidRDefault="006D3AD1" w:rsidP="00C64769">
      <w:pPr>
        <w:rPr>
          <w:color w:val="auto"/>
        </w:rPr>
      </w:pPr>
    </w:p>
    <w:p w14:paraId="7FAA70A6" w14:textId="225FF406" w:rsidR="00D1538A" w:rsidRDefault="00563525" w:rsidP="00C64769">
      <w:pPr>
        <w:rPr>
          <w:color w:val="auto"/>
        </w:rPr>
      </w:pPr>
      <w:r>
        <w:rPr>
          <w:color w:val="auto"/>
        </w:rPr>
        <w:t>Vejledningen</w:t>
      </w:r>
      <w:r w:rsidR="00D1538A">
        <w:rPr>
          <w:color w:val="auto"/>
        </w:rPr>
        <w:t xml:space="preserve"> finder </w:t>
      </w:r>
      <w:r w:rsidR="00D1538A" w:rsidRPr="00C47657">
        <w:rPr>
          <w:color w:val="auto"/>
        </w:rPr>
        <w:t xml:space="preserve">anvendelse fra </w:t>
      </w:r>
      <w:r w:rsidR="0049585A" w:rsidRPr="00C47657">
        <w:rPr>
          <w:color w:val="auto"/>
        </w:rPr>
        <w:t xml:space="preserve">det tidspunkt hvor de videregående uddannelsesinstitutioner </w:t>
      </w:r>
      <w:r w:rsidR="00C86AF7" w:rsidRPr="00C47657">
        <w:rPr>
          <w:color w:val="auto"/>
        </w:rPr>
        <w:t>implementerer den fæl</w:t>
      </w:r>
      <w:r w:rsidR="00945C34">
        <w:rPr>
          <w:color w:val="auto"/>
        </w:rPr>
        <w:t>les kontoplan efter aftale med Styrelsen for Institutioner og U</w:t>
      </w:r>
      <w:r w:rsidR="00C86AF7" w:rsidRPr="00C47657">
        <w:rPr>
          <w:color w:val="auto"/>
        </w:rPr>
        <w:t>ddannelsesstøtte</w:t>
      </w:r>
      <w:r w:rsidR="00E2288F" w:rsidRPr="00C47657">
        <w:rPr>
          <w:color w:val="auto"/>
        </w:rPr>
        <w:t>.</w:t>
      </w:r>
      <w:r w:rsidR="005C11B4" w:rsidRPr="00C47657">
        <w:rPr>
          <w:color w:val="auto"/>
        </w:rPr>
        <w:t xml:space="preserve"> Implementeringen af den fælles kontoplan sker i bølger, således at pilotinstitutioner </w:t>
      </w:r>
      <w:r w:rsidR="000954CF" w:rsidRPr="00C47657">
        <w:rPr>
          <w:color w:val="auto"/>
        </w:rPr>
        <w:t>for 2019 afl</w:t>
      </w:r>
      <w:r w:rsidR="000954CF" w:rsidRPr="00C47657">
        <w:rPr>
          <w:rFonts w:cs="Georgia"/>
          <w:color w:val="auto"/>
        </w:rPr>
        <w:t>æ</w:t>
      </w:r>
      <w:r w:rsidR="000954CF" w:rsidRPr="00C47657">
        <w:rPr>
          <w:color w:val="auto"/>
        </w:rPr>
        <w:t xml:space="preserve">gges regnskab efter </w:t>
      </w:r>
      <w:r w:rsidRPr="00C47657">
        <w:rPr>
          <w:color w:val="auto"/>
        </w:rPr>
        <w:t>denne vejledning</w:t>
      </w:r>
      <w:r w:rsidR="000954CF" w:rsidRPr="00C47657">
        <w:rPr>
          <w:color w:val="auto"/>
        </w:rPr>
        <w:t xml:space="preserve"> i fald dette er muligt</w:t>
      </w:r>
      <w:r w:rsidRPr="00C47657">
        <w:rPr>
          <w:color w:val="auto"/>
        </w:rPr>
        <w:t>,</w:t>
      </w:r>
      <w:r w:rsidR="000954CF" w:rsidRPr="00C47657">
        <w:rPr>
          <w:color w:val="auto"/>
        </w:rPr>
        <w:t xml:space="preserve"> eller efter konkret</w:t>
      </w:r>
      <w:r w:rsidR="000954CF" w:rsidRPr="000954CF">
        <w:rPr>
          <w:color w:val="auto"/>
        </w:rPr>
        <w:t xml:space="preserve"> aftale</w:t>
      </w:r>
      <w:r w:rsidR="000954CF">
        <w:rPr>
          <w:color w:val="auto"/>
        </w:rPr>
        <w:t>. D</w:t>
      </w:r>
      <w:r w:rsidR="005C11B4">
        <w:rPr>
          <w:color w:val="auto"/>
        </w:rPr>
        <w:t xml:space="preserve">e øvrige institutioner </w:t>
      </w:r>
      <w:r w:rsidR="000954CF">
        <w:rPr>
          <w:color w:val="auto"/>
        </w:rPr>
        <w:t xml:space="preserve">følger </w:t>
      </w:r>
      <w:r w:rsidR="005C11B4">
        <w:rPr>
          <w:color w:val="auto"/>
        </w:rPr>
        <w:t xml:space="preserve">i 2020 og </w:t>
      </w:r>
      <w:r w:rsidR="005C11B4">
        <w:rPr>
          <w:color w:val="auto"/>
        </w:rPr>
        <w:lastRenderedPageBreak/>
        <w:t xml:space="preserve">2021 efter institutionsspecifikke implementeringsplaner og efter aftale med Styrelsen for Institutioner og Uddannelsesstøtte. </w:t>
      </w:r>
    </w:p>
    <w:p w14:paraId="763FC249" w14:textId="61862E5C" w:rsidR="00C47657" w:rsidRDefault="00C47657" w:rsidP="00C64769">
      <w:pPr>
        <w:rPr>
          <w:color w:val="auto"/>
        </w:rPr>
      </w:pPr>
    </w:p>
    <w:p w14:paraId="128E4013" w14:textId="77777777" w:rsidR="00C47657" w:rsidRDefault="00C47657" w:rsidP="00C47657">
      <w:pPr>
        <w:spacing w:line="260" w:lineRule="exact"/>
        <w:rPr>
          <w:rFonts w:cs="campton-book"/>
          <w:b/>
          <w:color w:val="auto"/>
        </w:rPr>
      </w:pPr>
      <w:r w:rsidRPr="001462D6">
        <w:rPr>
          <w:rFonts w:cs="campton-book"/>
          <w:b/>
          <w:color w:val="auto"/>
        </w:rPr>
        <w:t>Overgang fra nuværende kontering og registreringsramme til Fælles Kontoplan</w:t>
      </w:r>
    </w:p>
    <w:p w14:paraId="763CD451" w14:textId="77777777" w:rsidR="00C47657" w:rsidRDefault="00C47657" w:rsidP="00C47657">
      <w:pPr>
        <w:spacing w:line="260" w:lineRule="exact"/>
        <w:rPr>
          <w:color w:val="auto"/>
        </w:rPr>
      </w:pPr>
      <w:r w:rsidRPr="001462D6">
        <w:rPr>
          <w:color w:val="auto"/>
        </w:rPr>
        <w:t xml:space="preserve">Den enkelte </w:t>
      </w:r>
      <w:r>
        <w:rPr>
          <w:color w:val="auto"/>
        </w:rPr>
        <w:t xml:space="preserve">institution er selv ansvarlig for implementering af den Fælles Kontoplan, med de krav der er beskrevet i nærværende vejledning. Der henvises til ’Værktøjskassen’ på </w:t>
      </w:r>
      <w:r w:rsidRPr="0096675A">
        <w:rPr>
          <w:color w:val="auto"/>
        </w:rPr>
        <w:t>ufm.dk/</w:t>
      </w:r>
      <w:proofErr w:type="spellStart"/>
      <w:r w:rsidRPr="0096675A">
        <w:rPr>
          <w:color w:val="auto"/>
        </w:rPr>
        <w:t>faelles</w:t>
      </w:r>
      <w:proofErr w:type="spellEnd"/>
      <w:r w:rsidRPr="0096675A">
        <w:rPr>
          <w:color w:val="auto"/>
        </w:rPr>
        <w:t>-kontoplan/</w:t>
      </w:r>
      <w:proofErr w:type="spellStart"/>
      <w:r w:rsidRPr="0096675A">
        <w:rPr>
          <w:color w:val="auto"/>
        </w:rPr>
        <w:t>vaerktojskassen</w:t>
      </w:r>
      <w:proofErr w:type="spellEnd"/>
      <w:r>
        <w:rPr>
          <w:color w:val="auto"/>
        </w:rPr>
        <w:t xml:space="preserve"> for understøttelse af de enkelte faser i implementeringsprocessen. </w:t>
      </w:r>
    </w:p>
    <w:p w14:paraId="16AA2934" w14:textId="77777777" w:rsidR="00C47657" w:rsidRDefault="00C47657" w:rsidP="00C47657">
      <w:pPr>
        <w:spacing w:line="260" w:lineRule="exact"/>
        <w:rPr>
          <w:color w:val="auto"/>
        </w:rPr>
      </w:pPr>
    </w:p>
    <w:p w14:paraId="18FB7A72" w14:textId="77777777" w:rsidR="00C47657" w:rsidRDefault="00C47657" w:rsidP="00C47657">
      <w:pPr>
        <w:spacing w:line="260" w:lineRule="exact"/>
        <w:rPr>
          <w:color w:val="auto"/>
        </w:rPr>
      </w:pPr>
      <w:r>
        <w:rPr>
          <w:color w:val="auto"/>
        </w:rPr>
        <w:t xml:space="preserve">Overgangen til Fælles Kontoplan for de 34 videregående uddannelsesinstitutioner under §19 i perioden 2019-2021 aftales separat mellem den enkelte institution og Styrelsen for Institutioner og Uddannelsesstøtte. Styrelsen afholder kick-off møder, samt opfølgningsmøder med den enkelte institution forud for igangsættelse af implementeringen, hvor rammerne for implementeringen fastlægges. </w:t>
      </w:r>
    </w:p>
    <w:p w14:paraId="029536FE" w14:textId="77777777" w:rsidR="00C47657" w:rsidRDefault="00C47657" w:rsidP="00C47657">
      <w:pPr>
        <w:spacing w:line="260" w:lineRule="exact"/>
        <w:rPr>
          <w:color w:val="auto"/>
        </w:rPr>
      </w:pPr>
    </w:p>
    <w:p w14:paraId="316B5E01" w14:textId="77777777" w:rsidR="00C47657" w:rsidRDefault="00C47657" w:rsidP="00C47657">
      <w:pPr>
        <w:spacing w:line="260" w:lineRule="exact"/>
        <w:rPr>
          <w:color w:val="auto"/>
        </w:rPr>
      </w:pPr>
      <w:r>
        <w:rPr>
          <w:color w:val="auto"/>
        </w:rPr>
        <w:t xml:space="preserve">Styrelsen kan kontaktes på </w:t>
      </w:r>
      <w:hyperlink r:id="rId11" w:history="1">
        <w:r w:rsidRPr="00A77328">
          <w:rPr>
            <w:rStyle w:val="Hyperlink"/>
          </w:rPr>
          <w:t>faelleskontoplan@ufm.dk</w:t>
        </w:r>
      </w:hyperlink>
    </w:p>
    <w:p w14:paraId="3120C4E5" w14:textId="77777777" w:rsidR="00D350AA" w:rsidRDefault="00D350AA" w:rsidP="004D61BC">
      <w:pPr>
        <w:pStyle w:val="NormalWeb"/>
        <w:spacing w:after="0" w:line="240" w:lineRule="auto"/>
        <w:rPr>
          <w:rFonts w:ascii="Georgia" w:hAnsi="Georgia"/>
          <w:sz w:val="19"/>
          <w:szCs w:val="19"/>
          <w:lang w:eastAsia="en-US"/>
        </w:rPr>
      </w:pPr>
    </w:p>
    <w:p w14:paraId="742378BA" w14:textId="30390DBA" w:rsidR="001462D6" w:rsidRPr="00050DB9" w:rsidRDefault="001462D6" w:rsidP="001462D6">
      <w:pPr>
        <w:pStyle w:val="NormalWeb"/>
        <w:spacing w:after="0" w:line="260" w:lineRule="exact"/>
        <w:rPr>
          <w:rFonts w:ascii="Georgia" w:hAnsi="Georgia"/>
          <w:b/>
          <w:sz w:val="19"/>
          <w:szCs w:val="19"/>
          <w:lang w:eastAsia="en-US"/>
        </w:rPr>
      </w:pPr>
      <w:r>
        <w:rPr>
          <w:rFonts w:ascii="Georgia" w:hAnsi="Georgia"/>
          <w:b/>
          <w:sz w:val="19"/>
          <w:szCs w:val="19"/>
          <w:lang w:eastAsia="en-US"/>
        </w:rPr>
        <w:t xml:space="preserve">Om </w:t>
      </w:r>
      <w:r w:rsidR="00602464">
        <w:rPr>
          <w:rFonts w:ascii="Georgia" w:hAnsi="Georgia"/>
          <w:b/>
          <w:sz w:val="19"/>
          <w:szCs w:val="19"/>
          <w:lang w:eastAsia="en-US"/>
        </w:rPr>
        <w:t>regnskabs</w:t>
      </w:r>
      <w:r>
        <w:rPr>
          <w:rFonts w:ascii="Georgia" w:hAnsi="Georgia"/>
          <w:b/>
          <w:sz w:val="19"/>
          <w:szCs w:val="19"/>
          <w:lang w:eastAsia="en-US"/>
        </w:rPr>
        <w:t>registrering</w:t>
      </w:r>
      <w:r w:rsidR="00602464">
        <w:rPr>
          <w:rFonts w:ascii="Georgia" w:hAnsi="Georgia"/>
          <w:b/>
          <w:sz w:val="19"/>
          <w:szCs w:val="19"/>
          <w:lang w:eastAsia="en-US"/>
        </w:rPr>
        <w:t>en</w:t>
      </w:r>
    </w:p>
    <w:p w14:paraId="799B2262" w14:textId="0EEA525F" w:rsidR="00C47657" w:rsidRDefault="00D350AA" w:rsidP="00E17E56">
      <w:pPr>
        <w:spacing w:line="260" w:lineRule="exact"/>
        <w:rPr>
          <w:rFonts w:cs="campton-book"/>
          <w:color w:val="auto"/>
        </w:rPr>
      </w:pPr>
      <w:r w:rsidRPr="001462D6">
        <w:rPr>
          <w:color w:val="auto"/>
        </w:rPr>
        <w:t xml:space="preserve">De videregående </w:t>
      </w:r>
      <w:r w:rsidR="00050DB9" w:rsidRPr="001462D6">
        <w:rPr>
          <w:color w:val="auto"/>
        </w:rPr>
        <w:t xml:space="preserve">uddannelsesinstitutioner skal </w:t>
      </w:r>
      <w:r w:rsidRPr="001462D6">
        <w:rPr>
          <w:color w:val="auto"/>
        </w:rPr>
        <w:t xml:space="preserve">løbende </w:t>
      </w:r>
      <w:r w:rsidR="00050DB9" w:rsidRPr="001462D6">
        <w:rPr>
          <w:color w:val="auto"/>
        </w:rPr>
        <w:t>registrere omkostninger i regnskabssystemet</w:t>
      </w:r>
      <w:r w:rsidRPr="001462D6">
        <w:rPr>
          <w:color w:val="auto"/>
        </w:rPr>
        <w:t xml:space="preserve"> på de fire dimensioner (kap 2-5), herunder på syv formål i formålsdimensionen. </w:t>
      </w:r>
      <w:r w:rsidR="00EB4BA9" w:rsidRPr="001462D6">
        <w:rPr>
          <w:color w:val="auto"/>
        </w:rPr>
        <w:t>Med løbende registrering forstås månedlig registrering</w:t>
      </w:r>
      <w:r w:rsidR="00050DB9" w:rsidRPr="001462D6">
        <w:rPr>
          <w:color w:val="auto"/>
        </w:rPr>
        <w:t>.</w:t>
      </w:r>
      <w:r w:rsidR="00602464" w:rsidRPr="00602464">
        <w:rPr>
          <w:noProof/>
          <w:color w:val="auto"/>
          <w:lang w:eastAsia="da-DK"/>
        </w:rPr>
        <w:t xml:space="preserve"> </w:t>
      </w:r>
      <w:r w:rsidR="00C47657" w:rsidRPr="001462D6">
        <w:rPr>
          <w:rFonts w:cs="campton-book"/>
          <w:color w:val="auto"/>
        </w:rPr>
        <w:t xml:space="preserve">For nærmere definerede </w:t>
      </w:r>
      <w:r w:rsidR="00C47657">
        <w:rPr>
          <w:rFonts w:cs="campton-book"/>
          <w:color w:val="auto"/>
        </w:rPr>
        <w:t>omkostninger</w:t>
      </w:r>
      <w:r w:rsidR="00C47657" w:rsidRPr="001462D6">
        <w:rPr>
          <w:rFonts w:cs="campton-book"/>
          <w:color w:val="auto"/>
        </w:rPr>
        <w:t xml:space="preserve">, herunder konkret definerede omkostninger </w:t>
      </w:r>
      <w:r w:rsidR="00C47657">
        <w:rPr>
          <w:rFonts w:cs="campton-book"/>
          <w:color w:val="auto"/>
        </w:rPr>
        <w:t>til løn og drift, hvor fordelingen på formål ikke kendes på konteringstidspunktet (samproduktion)</w:t>
      </w:r>
      <w:r w:rsidR="00C47657" w:rsidRPr="001462D6">
        <w:rPr>
          <w:rFonts w:cs="campton-book"/>
          <w:color w:val="auto"/>
        </w:rPr>
        <w:t xml:space="preserve">, vil der </w:t>
      </w:r>
      <w:r w:rsidR="00C47657">
        <w:rPr>
          <w:rFonts w:cs="campton-book"/>
          <w:color w:val="auto"/>
        </w:rPr>
        <w:t xml:space="preserve">aftales </w:t>
      </w:r>
      <w:r w:rsidR="00E17E56">
        <w:rPr>
          <w:rFonts w:cs="campton-book"/>
          <w:color w:val="auto"/>
        </w:rPr>
        <w:t xml:space="preserve">- eller gives dispensation til - </w:t>
      </w:r>
      <w:r w:rsidR="00C47657" w:rsidRPr="001462D6">
        <w:rPr>
          <w:rFonts w:cs="campton-book"/>
          <w:color w:val="auto"/>
        </w:rPr>
        <w:t xml:space="preserve">anden periodevis registrering end </w:t>
      </w:r>
      <w:r w:rsidR="00C47657">
        <w:rPr>
          <w:rFonts w:cs="campton-book"/>
          <w:color w:val="auto"/>
        </w:rPr>
        <w:t xml:space="preserve">løbende. </w:t>
      </w:r>
    </w:p>
    <w:p w14:paraId="3010107D" w14:textId="77777777" w:rsidR="00C47657" w:rsidRDefault="00C47657" w:rsidP="00E17E56">
      <w:pPr>
        <w:tabs>
          <w:tab w:val="clear" w:pos="454"/>
        </w:tabs>
        <w:autoSpaceDE w:val="0"/>
        <w:autoSpaceDN w:val="0"/>
        <w:adjustRightInd w:val="0"/>
        <w:spacing w:line="260" w:lineRule="exact"/>
        <w:rPr>
          <w:rFonts w:cs="campton-book"/>
          <w:color w:val="auto"/>
        </w:rPr>
      </w:pPr>
    </w:p>
    <w:p w14:paraId="3E906064" w14:textId="055984FB" w:rsidR="00C47657" w:rsidRDefault="00C47657" w:rsidP="00E17E56">
      <w:pPr>
        <w:spacing w:line="260" w:lineRule="exact"/>
        <w:rPr>
          <w:color w:val="auto"/>
        </w:rPr>
      </w:pPr>
      <w:r w:rsidRPr="002D6066">
        <w:rPr>
          <w:color w:val="auto"/>
        </w:rPr>
        <w:t>Hvor omkostninger og indtægter direkte og utvetydigt kan henføres til et formål</w:t>
      </w:r>
      <w:r>
        <w:rPr>
          <w:color w:val="auto"/>
        </w:rPr>
        <w:t>,</w:t>
      </w:r>
      <w:r w:rsidRPr="002D6066">
        <w:rPr>
          <w:color w:val="auto"/>
        </w:rPr>
        <w:t xml:space="preserve"> skal dette ske. </w:t>
      </w:r>
    </w:p>
    <w:p w14:paraId="564F3B24" w14:textId="77777777" w:rsidR="00E17E56" w:rsidRDefault="00E17E56" w:rsidP="00E17E56">
      <w:pPr>
        <w:spacing w:line="260" w:lineRule="exact"/>
        <w:rPr>
          <w:color w:val="auto"/>
        </w:rPr>
      </w:pPr>
    </w:p>
    <w:p w14:paraId="57C47041" w14:textId="7824475C" w:rsidR="00602464" w:rsidRDefault="00C47657" w:rsidP="00E17E56">
      <w:pPr>
        <w:spacing w:line="260" w:lineRule="exact"/>
        <w:rPr>
          <w:color w:val="auto"/>
        </w:rPr>
      </w:pPr>
      <w:r>
        <w:rPr>
          <w:noProof/>
          <w:color w:val="auto"/>
          <w:lang w:eastAsia="da-DK"/>
        </w:rPr>
        <w:t xml:space="preserve">De videregående uddannelsesinstitutioner er </w:t>
      </w:r>
      <w:r>
        <w:rPr>
          <w:color w:val="auto"/>
        </w:rPr>
        <w:t>ansvarlige for</w:t>
      </w:r>
      <w:r w:rsidRPr="00467559">
        <w:rPr>
          <w:color w:val="auto"/>
        </w:rPr>
        <w:t xml:space="preserve"> at henføre </w:t>
      </w:r>
      <w:r>
        <w:rPr>
          <w:color w:val="auto"/>
        </w:rPr>
        <w:t>drifts</w:t>
      </w:r>
      <w:r w:rsidRPr="00467559">
        <w:rPr>
          <w:color w:val="auto"/>
        </w:rPr>
        <w:t xml:space="preserve">posteringerne til de korrekte </w:t>
      </w:r>
      <w:r>
        <w:rPr>
          <w:color w:val="auto"/>
        </w:rPr>
        <w:t xml:space="preserve">dimensioner. </w:t>
      </w:r>
      <w:r w:rsidR="00602464">
        <w:rPr>
          <w:color w:val="auto"/>
        </w:rPr>
        <w:t xml:space="preserve">Institutionen beslutter, hvordan den praktisk håndterer </w:t>
      </w:r>
      <w:r w:rsidR="00E17E56">
        <w:rPr>
          <w:color w:val="auto"/>
        </w:rPr>
        <w:t>regnskabs</w:t>
      </w:r>
      <w:r w:rsidR="00602464">
        <w:rPr>
          <w:color w:val="auto"/>
        </w:rPr>
        <w:t>registreringen. For eksempel kan i</w:t>
      </w:r>
      <w:r w:rsidR="00602464" w:rsidRPr="002D6066">
        <w:rPr>
          <w:color w:val="auto"/>
        </w:rPr>
        <w:t>nstitutione</w:t>
      </w:r>
      <w:r w:rsidR="00602464">
        <w:rPr>
          <w:color w:val="auto"/>
        </w:rPr>
        <w:t>n</w:t>
      </w:r>
      <w:r w:rsidR="00602464" w:rsidRPr="002D6066">
        <w:rPr>
          <w:color w:val="auto"/>
        </w:rPr>
        <w:t xml:space="preserve"> </w:t>
      </w:r>
      <w:r w:rsidR="00602464">
        <w:rPr>
          <w:color w:val="auto"/>
        </w:rPr>
        <w:t xml:space="preserve">vælge at anvende </w:t>
      </w:r>
      <w:r w:rsidR="00602464" w:rsidRPr="002D6066">
        <w:rPr>
          <w:color w:val="auto"/>
        </w:rPr>
        <w:t xml:space="preserve">alias, projektstyring, præformålskontering </w:t>
      </w:r>
      <w:r w:rsidR="00602464">
        <w:rPr>
          <w:color w:val="auto"/>
        </w:rPr>
        <w:t xml:space="preserve">eller andre dokumentérbare metoder </w:t>
      </w:r>
      <w:r w:rsidR="00602464" w:rsidRPr="002D6066">
        <w:rPr>
          <w:color w:val="auto"/>
        </w:rPr>
        <w:t>mv</w:t>
      </w:r>
      <w:r w:rsidR="00602464">
        <w:rPr>
          <w:color w:val="auto"/>
        </w:rPr>
        <w:t>.</w:t>
      </w:r>
      <w:r w:rsidR="00602464" w:rsidRPr="002D6066">
        <w:rPr>
          <w:color w:val="auto"/>
        </w:rPr>
        <w:t xml:space="preserve"> </w:t>
      </w:r>
      <w:r w:rsidR="00602464">
        <w:rPr>
          <w:color w:val="auto"/>
        </w:rPr>
        <w:t>således,</w:t>
      </w:r>
      <w:r w:rsidR="00602464" w:rsidRPr="002D6066">
        <w:rPr>
          <w:color w:val="auto"/>
        </w:rPr>
        <w:t xml:space="preserve"> at konteringen </w:t>
      </w:r>
      <w:r w:rsidR="00602464">
        <w:rPr>
          <w:color w:val="auto"/>
        </w:rPr>
        <w:t>sker</w:t>
      </w:r>
      <w:r w:rsidR="00602464" w:rsidRPr="002D6066">
        <w:rPr>
          <w:color w:val="auto"/>
        </w:rPr>
        <w:t xml:space="preserve"> efter de angivne retningslinjer.</w:t>
      </w:r>
    </w:p>
    <w:p w14:paraId="22D29BE5" w14:textId="52F746ED" w:rsidR="00AE0FD2" w:rsidRDefault="00AE0FD2" w:rsidP="00E17E56">
      <w:pPr>
        <w:spacing w:line="260" w:lineRule="exact"/>
        <w:rPr>
          <w:color w:val="auto"/>
        </w:rPr>
      </w:pPr>
    </w:p>
    <w:p w14:paraId="7A97D6D9" w14:textId="7926324B" w:rsidR="00AE0FD2" w:rsidRDefault="00AE0FD2" w:rsidP="00AE0FD2">
      <w:pPr>
        <w:tabs>
          <w:tab w:val="clear" w:pos="454"/>
        </w:tabs>
        <w:autoSpaceDE w:val="0"/>
        <w:autoSpaceDN w:val="0"/>
        <w:adjustRightInd w:val="0"/>
        <w:rPr>
          <w:rFonts w:cs="campton-book"/>
          <w:i/>
          <w:color w:val="auto"/>
        </w:rPr>
      </w:pPr>
      <w:r w:rsidRPr="00E17E56">
        <w:rPr>
          <w:rFonts w:cs="campton-book"/>
          <w:i/>
          <w:color w:val="auto"/>
          <w:highlight w:val="lightGray"/>
        </w:rPr>
        <w:t>[</w:t>
      </w:r>
      <w:r>
        <w:rPr>
          <w:rFonts w:cs="campton-book"/>
          <w:i/>
          <w:color w:val="auto"/>
          <w:highlight w:val="lightGray"/>
        </w:rPr>
        <w:t xml:space="preserve">Afsnittet om regnskabsregistreringen vil blive udfoldet yderligere af </w:t>
      </w:r>
      <w:r w:rsidRPr="00E17E56">
        <w:rPr>
          <w:rFonts w:cs="campton-book"/>
          <w:i/>
          <w:color w:val="auto"/>
          <w:highlight w:val="lightGray"/>
        </w:rPr>
        <w:t xml:space="preserve">SIU </w:t>
      </w:r>
      <w:r>
        <w:rPr>
          <w:rFonts w:cs="campton-book"/>
          <w:i/>
          <w:color w:val="auto"/>
          <w:highlight w:val="lightGray"/>
        </w:rPr>
        <w:t>i efteråret 2019</w:t>
      </w:r>
      <w:r w:rsidRPr="00E17E56">
        <w:rPr>
          <w:rFonts w:cs="campton-book"/>
          <w:i/>
          <w:color w:val="auto"/>
          <w:highlight w:val="lightGray"/>
        </w:rPr>
        <w:t>, efter dialog med institutionerne</w:t>
      </w:r>
      <w:r>
        <w:rPr>
          <w:rFonts w:cs="campton-book"/>
          <w:i/>
          <w:color w:val="auto"/>
          <w:highlight w:val="lightGray"/>
        </w:rPr>
        <w:t>.</w:t>
      </w:r>
      <w:r w:rsidRPr="00E17E56">
        <w:rPr>
          <w:rFonts w:cs="campton-book"/>
          <w:i/>
          <w:color w:val="auto"/>
          <w:highlight w:val="lightGray"/>
        </w:rPr>
        <w:t xml:space="preserve"> </w:t>
      </w:r>
      <w:r>
        <w:rPr>
          <w:rFonts w:cs="campton-book"/>
          <w:i/>
          <w:color w:val="auto"/>
          <w:highlight w:val="lightGray"/>
        </w:rPr>
        <w:t xml:space="preserve">Især vil håndtering af omkostninger til løn og drift der skal konteres på flere formål (samproduktionsproblematikken) blive beskrevet ift. anden periodevis registrering end løbende, samt ift. anvendelse af fordelingsnøgler på specifikke omkostninger. SIU vil </w:t>
      </w:r>
      <w:r w:rsidR="00B62A09">
        <w:rPr>
          <w:rFonts w:cs="campton-book"/>
          <w:i/>
          <w:color w:val="auto"/>
          <w:highlight w:val="lightGray"/>
        </w:rPr>
        <w:t xml:space="preserve">løbende </w:t>
      </w:r>
      <w:r>
        <w:rPr>
          <w:rFonts w:cs="campton-book"/>
          <w:i/>
          <w:color w:val="auto"/>
          <w:highlight w:val="lightGray"/>
        </w:rPr>
        <w:t>i</w:t>
      </w:r>
      <w:r w:rsidRPr="00602464">
        <w:rPr>
          <w:rFonts w:cs="campton-book"/>
          <w:i/>
          <w:color w:val="auto"/>
          <w:highlight w:val="lightGray"/>
        </w:rPr>
        <w:t xml:space="preserve"> 2019-2021, i takt med institutionernes implementering af den fælles kontoplan, indarbejde de konkrete fremgangsmåder, der autoriseres af SIU, til anvendelse på institutionerne, i </w:t>
      </w:r>
      <w:r>
        <w:rPr>
          <w:rFonts w:cs="campton-book"/>
          <w:i/>
          <w:color w:val="auto"/>
          <w:highlight w:val="lightGray"/>
        </w:rPr>
        <w:t>denne vejledning</w:t>
      </w:r>
      <w:r w:rsidRPr="00602464">
        <w:rPr>
          <w:rFonts w:cs="campton-book"/>
          <w:i/>
          <w:color w:val="auto"/>
          <w:highlight w:val="lightGray"/>
        </w:rPr>
        <w:t>]</w:t>
      </w:r>
    </w:p>
    <w:p w14:paraId="02416AB4" w14:textId="77777777" w:rsidR="00AE0FD2" w:rsidRPr="00E17E56" w:rsidRDefault="00AE0FD2" w:rsidP="00AE0FD2">
      <w:pPr>
        <w:tabs>
          <w:tab w:val="clear" w:pos="454"/>
        </w:tabs>
        <w:autoSpaceDE w:val="0"/>
        <w:autoSpaceDN w:val="0"/>
        <w:adjustRightInd w:val="0"/>
        <w:rPr>
          <w:rFonts w:cs="campton-book"/>
          <w:i/>
          <w:color w:val="auto"/>
        </w:rPr>
      </w:pPr>
    </w:p>
    <w:p w14:paraId="4E88B1DC" w14:textId="77777777" w:rsidR="00AE0FD2" w:rsidRDefault="00AE0FD2">
      <w:pPr>
        <w:tabs>
          <w:tab w:val="clear" w:pos="454"/>
        </w:tabs>
        <w:rPr>
          <w:color w:val="auto"/>
          <w:u w:val="single"/>
        </w:rPr>
      </w:pPr>
      <w:r>
        <w:rPr>
          <w:color w:val="auto"/>
          <w:u w:val="single"/>
        </w:rPr>
        <w:br w:type="page"/>
      </w:r>
    </w:p>
    <w:p w14:paraId="216C75C0" w14:textId="262758DC" w:rsidR="00AE0FD2" w:rsidRPr="00AE0FD2" w:rsidRDefault="00AE0FD2" w:rsidP="00E17E56">
      <w:pPr>
        <w:spacing w:line="260" w:lineRule="exact"/>
        <w:rPr>
          <w:color w:val="auto"/>
          <w:u w:val="single"/>
        </w:rPr>
      </w:pPr>
      <w:r w:rsidRPr="00AE0FD2">
        <w:rPr>
          <w:color w:val="auto"/>
          <w:u w:val="single"/>
        </w:rPr>
        <w:lastRenderedPageBreak/>
        <w:t>KOMMENTARER FRA INSTITUTIONERNE TIL KAPITEL 1:</w:t>
      </w:r>
    </w:p>
    <w:p w14:paraId="3C68FF81" w14:textId="77777777" w:rsidR="00AE0FD2" w:rsidRPr="00AE0FD2" w:rsidRDefault="00AE0FD2" w:rsidP="00E17E56">
      <w:pPr>
        <w:spacing w:line="260" w:lineRule="exact"/>
        <w:rPr>
          <w:color w:val="auto"/>
        </w:rPr>
      </w:pPr>
    </w:p>
    <w:p w14:paraId="7368C4BE" w14:textId="20134DED" w:rsidR="00AE0FD2" w:rsidRPr="00AE0FD2" w:rsidRDefault="00AE0FD2" w:rsidP="00E17E56">
      <w:pPr>
        <w:spacing w:line="260" w:lineRule="exact"/>
        <w:rPr>
          <w:color w:val="auto"/>
        </w:rPr>
      </w:pPr>
      <w:r w:rsidRPr="00AE0FD2">
        <w:rPr>
          <w:color w:val="auto"/>
        </w:rPr>
        <w:t xml:space="preserve">SIU har </w:t>
      </w:r>
      <w:r w:rsidR="00B62A09">
        <w:rPr>
          <w:color w:val="auto"/>
        </w:rPr>
        <w:t xml:space="preserve">til version 2.1 af denne vejledning </w:t>
      </w:r>
      <w:r w:rsidRPr="00AE0FD2">
        <w:rPr>
          <w:color w:val="auto"/>
        </w:rPr>
        <w:t>modtaget nedenstående kommentarer fra DTU, KU og AAU. Kommentarerne er enten indarbejdet i denne version af konterings- og fordelingsvejledningen, eller drøftes med institutionerne i efteråret 2019.</w:t>
      </w:r>
    </w:p>
    <w:p w14:paraId="26134D39" w14:textId="77777777" w:rsidR="00602464" w:rsidRPr="00AE0FD2" w:rsidRDefault="00602464" w:rsidP="00E17E56">
      <w:pPr>
        <w:spacing w:line="260" w:lineRule="exact"/>
        <w:rPr>
          <w:color w:val="auto"/>
        </w:rPr>
      </w:pPr>
    </w:p>
    <w:p w14:paraId="26FC43C6" w14:textId="052446D2" w:rsidR="00ED14F9" w:rsidRPr="00AE0FD2" w:rsidRDefault="00E17E56" w:rsidP="00E17E56">
      <w:pPr>
        <w:spacing w:line="260" w:lineRule="exact"/>
        <w:rPr>
          <w:color w:val="auto"/>
        </w:rPr>
      </w:pPr>
      <w:r w:rsidRPr="00AE0FD2">
        <w:rPr>
          <w:color w:val="auto"/>
        </w:rPr>
        <w:t>DTU har kommenteret at:</w:t>
      </w:r>
    </w:p>
    <w:p w14:paraId="6366C849" w14:textId="77777777" w:rsidR="00E17E56" w:rsidRPr="00AE0FD2" w:rsidRDefault="00ED14F9" w:rsidP="007A6B50">
      <w:pPr>
        <w:pStyle w:val="Listeafsnit"/>
        <w:numPr>
          <w:ilvl w:val="0"/>
          <w:numId w:val="12"/>
        </w:numPr>
        <w:tabs>
          <w:tab w:val="clear" w:pos="454"/>
        </w:tabs>
        <w:autoSpaceDE w:val="0"/>
        <w:autoSpaceDN w:val="0"/>
        <w:adjustRightInd w:val="0"/>
        <w:spacing w:after="80" w:line="260" w:lineRule="exact"/>
        <w:ind w:left="714" w:hanging="357"/>
        <w:contextualSpacing w:val="0"/>
        <w:rPr>
          <w:rFonts w:cs="Georgia"/>
          <w:i/>
          <w:color w:val="auto"/>
        </w:rPr>
      </w:pPr>
      <w:r w:rsidRPr="00AE0FD2">
        <w:rPr>
          <w:i/>
          <w:color w:val="auto"/>
        </w:rPr>
        <w:t>kontering</w:t>
      </w:r>
      <w:r w:rsidR="00563525" w:rsidRPr="00AE0FD2">
        <w:rPr>
          <w:i/>
          <w:color w:val="auto"/>
        </w:rPr>
        <w:t>s-</w:t>
      </w:r>
      <w:r w:rsidRPr="00AE0FD2">
        <w:rPr>
          <w:i/>
          <w:color w:val="auto"/>
        </w:rPr>
        <w:t xml:space="preserve"> og fordeling</w:t>
      </w:r>
      <w:r w:rsidR="00563525" w:rsidRPr="00AE0FD2">
        <w:rPr>
          <w:i/>
          <w:color w:val="auto"/>
        </w:rPr>
        <w:t>svejledningen</w:t>
      </w:r>
      <w:r w:rsidRPr="00AE0FD2">
        <w:rPr>
          <w:i/>
          <w:color w:val="auto"/>
        </w:rPr>
        <w:t xml:space="preserve"> ikke </w:t>
      </w:r>
      <w:r w:rsidR="00E17E56" w:rsidRPr="00AE0FD2">
        <w:rPr>
          <w:i/>
          <w:color w:val="auto"/>
        </w:rPr>
        <w:t>må blive</w:t>
      </w:r>
      <w:r w:rsidRPr="00AE0FD2">
        <w:rPr>
          <w:i/>
          <w:color w:val="auto"/>
        </w:rPr>
        <w:t xml:space="preserve"> for </w:t>
      </w:r>
      <w:r w:rsidR="00563525" w:rsidRPr="00AE0FD2">
        <w:rPr>
          <w:i/>
          <w:color w:val="auto"/>
        </w:rPr>
        <w:t>snæver</w:t>
      </w:r>
      <w:r w:rsidRPr="00AE0FD2">
        <w:rPr>
          <w:i/>
          <w:color w:val="auto"/>
        </w:rPr>
        <w:t>, så der skal s</w:t>
      </w:r>
      <w:r w:rsidRPr="00AE0FD2">
        <w:rPr>
          <w:rFonts w:cs="Georgia"/>
          <w:i/>
          <w:color w:val="auto"/>
        </w:rPr>
        <w:t>ø</w:t>
      </w:r>
      <w:r w:rsidRPr="00AE0FD2">
        <w:rPr>
          <w:i/>
          <w:color w:val="auto"/>
        </w:rPr>
        <w:t xml:space="preserve">ges tilladelser, dispensationer og lignende for at kunne få en retvisende fordeling </w:t>
      </w:r>
    </w:p>
    <w:p w14:paraId="65C7614B" w14:textId="77777777" w:rsidR="00E17E56" w:rsidRPr="00AE0FD2" w:rsidRDefault="00BD6E42" w:rsidP="007A6B50">
      <w:pPr>
        <w:pStyle w:val="Listeafsnit"/>
        <w:numPr>
          <w:ilvl w:val="0"/>
          <w:numId w:val="12"/>
        </w:numPr>
        <w:tabs>
          <w:tab w:val="clear" w:pos="454"/>
        </w:tabs>
        <w:autoSpaceDE w:val="0"/>
        <w:autoSpaceDN w:val="0"/>
        <w:adjustRightInd w:val="0"/>
        <w:spacing w:after="80" w:line="260" w:lineRule="exact"/>
        <w:ind w:left="714" w:hanging="357"/>
        <w:contextualSpacing w:val="0"/>
        <w:rPr>
          <w:rFonts w:cs="Georgia"/>
          <w:i/>
          <w:color w:val="auto"/>
        </w:rPr>
      </w:pPr>
      <w:r w:rsidRPr="00AE0FD2">
        <w:rPr>
          <w:rFonts w:cs="campton-book"/>
          <w:i/>
          <w:color w:val="auto"/>
        </w:rPr>
        <w:t xml:space="preserve"> der ikke bør</w:t>
      </w:r>
      <w:r w:rsidR="00331E62" w:rsidRPr="00AE0FD2">
        <w:rPr>
          <w:rFonts w:cs="campton-book"/>
          <w:i/>
          <w:color w:val="auto"/>
        </w:rPr>
        <w:t xml:space="preserve"> søges om tilladelser, dispensationer og lignende</w:t>
      </w:r>
      <w:r w:rsidRPr="00AE0FD2">
        <w:rPr>
          <w:rFonts w:cs="campton-book"/>
          <w:i/>
          <w:color w:val="auto"/>
        </w:rPr>
        <w:t xml:space="preserve">, på </w:t>
      </w:r>
      <w:r w:rsidR="00331E62" w:rsidRPr="00AE0FD2">
        <w:rPr>
          <w:rFonts w:cs="campton-book"/>
          <w:i/>
          <w:color w:val="auto"/>
        </w:rPr>
        <w:t>emner, som er mere retvisende og transparente end de standarder, som rapporten lægger op til</w:t>
      </w:r>
      <w:r w:rsidR="00ED14F9" w:rsidRPr="00AE0FD2">
        <w:rPr>
          <w:rFonts w:cs="campton-book"/>
          <w:i/>
          <w:color w:val="auto"/>
        </w:rPr>
        <w:t xml:space="preserve">. </w:t>
      </w:r>
    </w:p>
    <w:p w14:paraId="5DA294E5" w14:textId="77777777" w:rsidR="00E17E56" w:rsidRPr="00AE0FD2" w:rsidRDefault="00ED14F9" w:rsidP="007A6B50">
      <w:pPr>
        <w:pStyle w:val="Listeafsnit"/>
        <w:numPr>
          <w:ilvl w:val="0"/>
          <w:numId w:val="12"/>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 xml:space="preserve">generelle tilladelser, dispensation og lignende, </w:t>
      </w:r>
      <w:r w:rsidR="00E17E56" w:rsidRPr="00AE0FD2">
        <w:rPr>
          <w:rFonts w:cs="campton-book"/>
          <w:i/>
          <w:color w:val="auto"/>
        </w:rPr>
        <w:t xml:space="preserve">bør </w:t>
      </w:r>
      <w:r w:rsidRPr="00AE0FD2">
        <w:rPr>
          <w:rFonts w:cs="campton-book"/>
          <w:i/>
          <w:color w:val="auto"/>
        </w:rPr>
        <w:t xml:space="preserve">indarbejdes i de årlige opdateringer af </w:t>
      </w:r>
      <w:r w:rsidR="00563525" w:rsidRPr="00AE0FD2">
        <w:rPr>
          <w:rFonts w:cs="campton-book"/>
          <w:i/>
          <w:color w:val="auto"/>
        </w:rPr>
        <w:t>vejledningen</w:t>
      </w:r>
      <w:r w:rsidRPr="00AE0FD2">
        <w:rPr>
          <w:rFonts w:cs="campton-book"/>
          <w:i/>
          <w:color w:val="auto"/>
        </w:rPr>
        <w:t xml:space="preserve"> for </w:t>
      </w:r>
      <w:r w:rsidRPr="00AE0FD2">
        <w:rPr>
          <w:rFonts w:cs="Georgia"/>
          <w:i/>
          <w:color w:val="auto"/>
        </w:rPr>
        <w:t>’</w:t>
      </w:r>
      <w:r w:rsidRPr="00AE0FD2">
        <w:rPr>
          <w:rFonts w:cs="campton-book"/>
          <w:i/>
          <w:color w:val="auto"/>
        </w:rPr>
        <w:t>F</w:t>
      </w:r>
      <w:r w:rsidRPr="00AE0FD2">
        <w:rPr>
          <w:rFonts w:cs="Georgia"/>
          <w:i/>
          <w:color w:val="auto"/>
        </w:rPr>
        <w:t>æ</w:t>
      </w:r>
      <w:r w:rsidRPr="00AE0FD2">
        <w:rPr>
          <w:rFonts w:cs="campton-book"/>
          <w:i/>
          <w:color w:val="auto"/>
        </w:rPr>
        <w:t>lles kontoplan</w:t>
      </w:r>
      <w:r w:rsidR="00E17E56" w:rsidRPr="00AE0FD2">
        <w:rPr>
          <w:rFonts w:cs="Georgia"/>
          <w:i/>
          <w:color w:val="auto"/>
        </w:rPr>
        <w:t>’</w:t>
      </w:r>
    </w:p>
    <w:p w14:paraId="785EEE7C" w14:textId="77777777" w:rsidR="00E17E56" w:rsidRPr="00AE0FD2" w:rsidRDefault="0091220A" w:rsidP="007A6B50">
      <w:pPr>
        <w:pStyle w:val="Listeafsnit"/>
        <w:numPr>
          <w:ilvl w:val="0"/>
          <w:numId w:val="12"/>
        </w:numPr>
        <w:tabs>
          <w:tab w:val="clear" w:pos="454"/>
        </w:tabs>
        <w:autoSpaceDE w:val="0"/>
        <w:autoSpaceDN w:val="0"/>
        <w:adjustRightInd w:val="0"/>
        <w:spacing w:after="80" w:line="260" w:lineRule="exact"/>
        <w:contextualSpacing w:val="0"/>
        <w:rPr>
          <w:rFonts w:cs="campton-book"/>
          <w:i/>
          <w:color w:val="auto"/>
        </w:rPr>
      </w:pPr>
      <w:r w:rsidRPr="00AE0FD2">
        <w:rPr>
          <w:rFonts w:cs="campton-book"/>
          <w:i/>
          <w:color w:val="auto"/>
        </w:rPr>
        <w:t>der vil være udgifter, hvor det først sidst på året er muligt at lave den rette fordeling mellem formål, og dette ikke b</w:t>
      </w:r>
      <w:r w:rsidRPr="00AE0FD2">
        <w:rPr>
          <w:rFonts w:cs="Georgia"/>
          <w:i/>
          <w:color w:val="auto"/>
        </w:rPr>
        <w:t>ø</w:t>
      </w:r>
      <w:r w:rsidRPr="00AE0FD2">
        <w:rPr>
          <w:rFonts w:cs="campton-book"/>
          <w:i/>
          <w:color w:val="auto"/>
        </w:rPr>
        <w:t>r kr</w:t>
      </w:r>
      <w:r w:rsidRPr="00AE0FD2">
        <w:rPr>
          <w:rFonts w:cs="Georgia"/>
          <w:i/>
          <w:color w:val="auto"/>
        </w:rPr>
        <w:t>æ</w:t>
      </w:r>
      <w:r w:rsidRPr="00AE0FD2">
        <w:rPr>
          <w:rFonts w:cs="campton-book"/>
          <w:i/>
          <w:color w:val="auto"/>
        </w:rPr>
        <w:t>ve dispensation, samt at det generelt bør v</w:t>
      </w:r>
      <w:r w:rsidRPr="00AE0FD2">
        <w:rPr>
          <w:rFonts w:cs="Georgia"/>
          <w:i/>
          <w:color w:val="auto"/>
        </w:rPr>
        <w:t>æ</w:t>
      </w:r>
      <w:r w:rsidRPr="00AE0FD2">
        <w:rPr>
          <w:rFonts w:cs="campton-book"/>
          <w:i/>
          <w:color w:val="auto"/>
        </w:rPr>
        <w:t>re muligt, at anvende andre fordelingsmetoder efter behov, hvis resultatet er en mere retvisende fordeling. Det b</w:t>
      </w:r>
      <w:r w:rsidRPr="00AE0FD2">
        <w:rPr>
          <w:rFonts w:cs="Georgia"/>
          <w:i/>
          <w:color w:val="auto"/>
        </w:rPr>
        <w:t>ø</w:t>
      </w:r>
      <w:r w:rsidRPr="00AE0FD2">
        <w:rPr>
          <w:rFonts w:cs="campton-book"/>
          <w:i/>
          <w:color w:val="auto"/>
        </w:rPr>
        <w:t>r v</w:t>
      </w:r>
      <w:r w:rsidRPr="00AE0FD2">
        <w:rPr>
          <w:rFonts w:cs="Georgia"/>
          <w:i/>
          <w:color w:val="auto"/>
        </w:rPr>
        <w:t>æ</w:t>
      </w:r>
      <w:r w:rsidRPr="00AE0FD2">
        <w:rPr>
          <w:rFonts w:cs="campton-book"/>
          <w:i/>
          <w:color w:val="auto"/>
        </w:rPr>
        <w:t>re revisionen, og ikke dispensationer, som sikrer, at disse andre fordelingsmetoder giver et mere retvise</w:t>
      </w:r>
      <w:r w:rsidR="00E17E56" w:rsidRPr="00AE0FD2">
        <w:rPr>
          <w:rFonts w:cs="campton-book"/>
          <w:i/>
          <w:color w:val="auto"/>
        </w:rPr>
        <w:t>nde og sammenligneligt resultat</w:t>
      </w:r>
    </w:p>
    <w:p w14:paraId="4723890D" w14:textId="77777777" w:rsidR="00E17E56" w:rsidRPr="00AE0FD2" w:rsidRDefault="007039D0" w:rsidP="007A6B50">
      <w:pPr>
        <w:pStyle w:val="Listeafsnit"/>
        <w:numPr>
          <w:ilvl w:val="0"/>
          <w:numId w:val="12"/>
        </w:numPr>
        <w:tabs>
          <w:tab w:val="clear" w:pos="454"/>
        </w:tabs>
        <w:autoSpaceDE w:val="0"/>
        <w:autoSpaceDN w:val="0"/>
        <w:adjustRightInd w:val="0"/>
        <w:spacing w:after="80" w:line="260" w:lineRule="exact"/>
        <w:contextualSpacing w:val="0"/>
        <w:rPr>
          <w:rFonts w:cs="campton-book"/>
          <w:i/>
          <w:color w:val="auto"/>
        </w:rPr>
      </w:pPr>
      <w:r w:rsidRPr="00AE0FD2">
        <w:rPr>
          <w:rFonts w:cs="campton-book"/>
          <w:i/>
          <w:color w:val="auto"/>
        </w:rPr>
        <w:t>der er omkostninger hvor formålet ikke kan defineres: Det b</w:t>
      </w:r>
      <w:r w:rsidRPr="00AE0FD2">
        <w:rPr>
          <w:rFonts w:cs="Georgia"/>
          <w:i/>
          <w:color w:val="auto"/>
        </w:rPr>
        <w:t>ø</w:t>
      </w:r>
      <w:r w:rsidRPr="00AE0FD2">
        <w:rPr>
          <w:rFonts w:cs="campton-book"/>
          <w:i/>
          <w:color w:val="auto"/>
        </w:rPr>
        <w:t>r pr</w:t>
      </w:r>
      <w:r w:rsidRPr="00AE0FD2">
        <w:rPr>
          <w:rFonts w:cs="Georgia"/>
          <w:i/>
          <w:color w:val="auto"/>
        </w:rPr>
        <w:t>æ</w:t>
      </w:r>
      <w:r w:rsidRPr="00AE0FD2">
        <w:rPr>
          <w:rFonts w:cs="campton-book"/>
          <w:i/>
          <w:color w:val="auto"/>
        </w:rPr>
        <w:t>ciseres at der er mulighed for i l</w:t>
      </w:r>
      <w:r w:rsidRPr="00AE0FD2">
        <w:rPr>
          <w:rFonts w:cs="Georgia"/>
          <w:i/>
          <w:color w:val="auto"/>
        </w:rPr>
        <w:t>ø</w:t>
      </w:r>
      <w:r w:rsidRPr="00AE0FD2">
        <w:rPr>
          <w:rFonts w:cs="campton-book"/>
          <w:i/>
          <w:color w:val="auto"/>
        </w:rPr>
        <w:t>bet af å</w:t>
      </w:r>
      <w:r w:rsidRPr="00AE0FD2">
        <w:rPr>
          <w:rFonts w:ascii="Times New Roman" w:hAnsi="Times New Roman" w:cs="Times New Roman"/>
          <w:i/>
          <w:color w:val="auto"/>
        </w:rPr>
        <w:t>r</w:t>
      </w:r>
      <w:r w:rsidRPr="00AE0FD2">
        <w:rPr>
          <w:rFonts w:cs="campton-book"/>
          <w:i/>
          <w:color w:val="auto"/>
        </w:rPr>
        <w:t>et at kontere uden formå</w:t>
      </w:r>
      <w:r w:rsidRPr="00AE0FD2">
        <w:rPr>
          <w:rFonts w:ascii="Times New Roman" w:hAnsi="Times New Roman" w:cs="Times New Roman"/>
          <w:i/>
          <w:color w:val="auto"/>
        </w:rPr>
        <w:t>l</w:t>
      </w:r>
      <w:r w:rsidRPr="00AE0FD2">
        <w:rPr>
          <w:rFonts w:cs="campton-book"/>
          <w:i/>
          <w:color w:val="auto"/>
        </w:rPr>
        <w:t>, frem til årsafslutning hvor omkostningers reelle formå</w:t>
      </w:r>
      <w:r w:rsidRPr="00AE0FD2">
        <w:rPr>
          <w:rFonts w:ascii="Times New Roman" w:hAnsi="Times New Roman" w:cs="Times New Roman"/>
          <w:i/>
          <w:color w:val="auto"/>
        </w:rPr>
        <w:t>l</w:t>
      </w:r>
      <w:r w:rsidR="00E17E56" w:rsidRPr="00AE0FD2">
        <w:rPr>
          <w:rFonts w:cs="campton-book"/>
          <w:i/>
          <w:color w:val="auto"/>
        </w:rPr>
        <w:t xml:space="preserve"> er kendt</w:t>
      </w:r>
    </w:p>
    <w:p w14:paraId="248CE7BB" w14:textId="2AB1191F" w:rsidR="009B09B7" w:rsidRPr="00AE0FD2" w:rsidRDefault="009B09B7" w:rsidP="007A6B50">
      <w:pPr>
        <w:pStyle w:val="Listeafsnit"/>
        <w:numPr>
          <w:ilvl w:val="0"/>
          <w:numId w:val="12"/>
        </w:numPr>
        <w:tabs>
          <w:tab w:val="clear" w:pos="454"/>
        </w:tabs>
        <w:autoSpaceDE w:val="0"/>
        <w:autoSpaceDN w:val="0"/>
        <w:adjustRightInd w:val="0"/>
        <w:spacing w:after="80" w:line="260" w:lineRule="exact"/>
        <w:contextualSpacing w:val="0"/>
        <w:rPr>
          <w:rFonts w:cs="campton-book"/>
          <w:i/>
          <w:color w:val="auto"/>
        </w:rPr>
      </w:pPr>
      <w:r w:rsidRPr="00AE0FD2">
        <w:rPr>
          <w:rFonts w:cs="campton-book"/>
          <w:i/>
          <w:color w:val="auto"/>
        </w:rPr>
        <w:t>der er behov for, at nogle omkostninger først formålskonteres ved årets udgang og at disse ikke kr</w:t>
      </w:r>
      <w:r w:rsidRPr="00AE0FD2">
        <w:rPr>
          <w:rFonts w:cs="Georgia"/>
          <w:i/>
          <w:color w:val="auto"/>
        </w:rPr>
        <w:t>æ</w:t>
      </w:r>
      <w:r w:rsidRPr="00AE0FD2">
        <w:rPr>
          <w:rFonts w:cs="campton-book"/>
          <w:i/>
          <w:color w:val="auto"/>
        </w:rPr>
        <w:t>ver s</w:t>
      </w:r>
      <w:r w:rsidRPr="00AE0FD2">
        <w:rPr>
          <w:rFonts w:cs="Georgia"/>
          <w:i/>
          <w:color w:val="auto"/>
        </w:rPr>
        <w:t>æ</w:t>
      </w:r>
      <w:r w:rsidRPr="00AE0FD2">
        <w:rPr>
          <w:rFonts w:cs="campton-book"/>
          <w:i/>
          <w:color w:val="auto"/>
        </w:rPr>
        <w:t xml:space="preserve">rlige </w:t>
      </w:r>
      <w:r w:rsidR="00E32169">
        <w:rPr>
          <w:rFonts w:cs="campton-book"/>
          <w:i/>
          <w:color w:val="auto"/>
        </w:rPr>
        <w:t>dispensationer</w:t>
      </w:r>
      <w:r w:rsidR="00E17E56" w:rsidRPr="00AE0FD2">
        <w:rPr>
          <w:rFonts w:cs="campton-book"/>
          <w:i/>
          <w:color w:val="auto"/>
        </w:rPr>
        <w:t xml:space="preserve"> (samproduktion)</w:t>
      </w:r>
      <w:r w:rsidRPr="00AE0FD2">
        <w:rPr>
          <w:rFonts w:cs="campton-book"/>
          <w:i/>
          <w:color w:val="auto"/>
        </w:rPr>
        <w:t>.</w:t>
      </w:r>
    </w:p>
    <w:p w14:paraId="31B94134" w14:textId="6637B546" w:rsidR="00C20326" w:rsidRPr="00AE0FD2" w:rsidRDefault="00C20326" w:rsidP="001462D6">
      <w:pPr>
        <w:tabs>
          <w:tab w:val="clear" w:pos="454"/>
        </w:tabs>
        <w:autoSpaceDE w:val="0"/>
        <w:autoSpaceDN w:val="0"/>
        <w:adjustRightInd w:val="0"/>
        <w:spacing w:line="260" w:lineRule="exact"/>
        <w:rPr>
          <w:rFonts w:cs="campton-book"/>
          <w:color w:val="auto"/>
        </w:rPr>
      </w:pPr>
    </w:p>
    <w:p w14:paraId="7D0B97C3" w14:textId="1234B2D7" w:rsidR="00E17E56" w:rsidRPr="00AE0FD2" w:rsidRDefault="00E17E56" w:rsidP="00B62A09">
      <w:pPr>
        <w:spacing w:line="260" w:lineRule="exact"/>
        <w:rPr>
          <w:color w:val="auto"/>
        </w:rPr>
      </w:pPr>
      <w:r w:rsidRPr="00AE0FD2">
        <w:rPr>
          <w:color w:val="auto"/>
        </w:rPr>
        <w:t>KU har kommenteret at:</w:t>
      </w:r>
    </w:p>
    <w:p w14:paraId="3ACF24F8" w14:textId="77777777" w:rsidR="00E17E56" w:rsidRPr="00AE0FD2" w:rsidRDefault="00C20326" w:rsidP="007A6B50">
      <w:pPr>
        <w:pStyle w:val="Listeafsnit"/>
        <w:numPr>
          <w:ilvl w:val="0"/>
          <w:numId w:val="13"/>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afsnittet vedrørende samproduktion generelt skal udfoldes ift. eksempler, samt ift. muligheder for dispensation til anden periodevis registrering</w:t>
      </w:r>
    </w:p>
    <w:p w14:paraId="4998BA4A" w14:textId="77777777" w:rsidR="00E17E56" w:rsidRPr="00AE0FD2" w:rsidRDefault="00AA6BE9" w:rsidP="007A6B50">
      <w:pPr>
        <w:pStyle w:val="Listeafsnit"/>
        <w:numPr>
          <w:ilvl w:val="0"/>
          <w:numId w:val="13"/>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kontering på formål via alias foruds</w:t>
      </w:r>
      <w:r w:rsidRPr="00AE0FD2">
        <w:rPr>
          <w:rFonts w:cs="Georgia"/>
          <w:i/>
          <w:color w:val="auto"/>
        </w:rPr>
        <w:t>æ</w:t>
      </w:r>
      <w:r w:rsidRPr="00AE0FD2">
        <w:rPr>
          <w:rFonts w:cs="campton-book"/>
          <w:i/>
          <w:color w:val="auto"/>
        </w:rPr>
        <w:t>tter en entydig kobling mellem alias og formål, der ikke tager h</w:t>
      </w:r>
      <w:r w:rsidRPr="00AE0FD2">
        <w:rPr>
          <w:rFonts w:cs="Georgia"/>
          <w:i/>
          <w:color w:val="auto"/>
        </w:rPr>
        <w:t>ø</w:t>
      </w:r>
      <w:r w:rsidRPr="00AE0FD2">
        <w:rPr>
          <w:rFonts w:cs="campton-book"/>
          <w:i/>
          <w:color w:val="auto"/>
        </w:rPr>
        <w:t>jde for samproduktion mellem forskning og uddannelse, og at det derfor skal overvejes, hvordan der skal skelnes mellem forskning- og uddannelsesformål, samt hvordan dette skal hå</w:t>
      </w:r>
      <w:r w:rsidRPr="00AE0FD2">
        <w:rPr>
          <w:rFonts w:ascii="Times New Roman" w:hAnsi="Times New Roman" w:cs="Times New Roman"/>
          <w:i/>
          <w:color w:val="auto"/>
        </w:rPr>
        <w:t>n</w:t>
      </w:r>
      <w:r w:rsidRPr="00AE0FD2">
        <w:rPr>
          <w:rFonts w:cs="campton-book"/>
          <w:i/>
          <w:color w:val="auto"/>
        </w:rPr>
        <w:t>dteres systemm</w:t>
      </w:r>
      <w:r w:rsidRPr="00AE0FD2">
        <w:rPr>
          <w:rFonts w:cs="Georgia"/>
          <w:i/>
          <w:color w:val="auto"/>
        </w:rPr>
        <w:t>æ</w:t>
      </w:r>
      <w:r w:rsidR="00E17E56" w:rsidRPr="00AE0FD2">
        <w:rPr>
          <w:rFonts w:cs="campton-book"/>
          <w:i/>
          <w:color w:val="auto"/>
        </w:rPr>
        <w:t>ssigt</w:t>
      </w:r>
    </w:p>
    <w:p w14:paraId="660FEA44" w14:textId="77777777" w:rsidR="00AE0FD2" w:rsidRPr="00AE0FD2" w:rsidRDefault="00AA6BE9" w:rsidP="007A6B50">
      <w:pPr>
        <w:pStyle w:val="Listeafsnit"/>
        <w:numPr>
          <w:ilvl w:val="0"/>
          <w:numId w:val="13"/>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det skal drøftes, hvordan løn som en særlig problematik ift. samproduktion, kan håndteres systemmæssigt. To umiddelbare løsninger – kontering i SLS og efterfølgende ompostering i Navision - kan drøftes</w:t>
      </w:r>
    </w:p>
    <w:p w14:paraId="2022A879" w14:textId="2278FC66" w:rsidR="00BB183D" w:rsidRPr="00AE0FD2" w:rsidRDefault="00AE0FD2" w:rsidP="007A6B50">
      <w:pPr>
        <w:pStyle w:val="Listeafsnit"/>
        <w:numPr>
          <w:ilvl w:val="0"/>
          <w:numId w:val="13"/>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de</w:t>
      </w:r>
      <w:r w:rsidR="00BB183D" w:rsidRPr="00AE0FD2">
        <w:rPr>
          <w:rFonts w:cs="campton-book"/>
          <w:i/>
          <w:color w:val="auto"/>
        </w:rPr>
        <w:t xml:space="preserve">t skal drøftes, hvordan drift, som en særlig problematik ift. samproduktion, kan håndteres systemmæssigt, herunder om der skal formålskonteres ved kilden, eller efterfølgende nøglefordeling. Herunder kan det drøftes, om der er særlige områder der kan formålskonteres ved kilden og andre der senere skal </w:t>
      </w:r>
      <w:proofErr w:type="spellStart"/>
      <w:r w:rsidR="00BB183D" w:rsidRPr="00AE0FD2">
        <w:rPr>
          <w:rFonts w:cs="campton-book"/>
          <w:i/>
          <w:color w:val="auto"/>
        </w:rPr>
        <w:t>omkonteres</w:t>
      </w:r>
      <w:proofErr w:type="spellEnd"/>
      <w:r w:rsidR="00BB183D" w:rsidRPr="00AE0FD2">
        <w:rPr>
          <w:rFonts w:cs="campton-book"/>
          <w:i/>
          <w:color w:val="auto"/>
        </w:rPr>
        <w:t>.</w:t>
      </w:r>
    </w:p>
    <w:p w14:paraId="16778C48" w14:textId="3DF61F91" w:rsidR="00AE0FD2" w:rsidRPr="00AE0FD2" w:rsidRDefault="00AE0FD2" w:rsidP="00B62A09">
      <w:pPr>
        <w:tabs>
          <w:tab w:val="clear" w:pos="454"/>
        </w:tabs>
        <w:autoSpaceDE w:val="0"/>
        <w:autoSpaceDN w:val="0"/>
        <w:adjustRightInd w:val="0"/>
        <w:spacing w:line="260" w:lineRule="exact"/>
        <w:rPr>
          <w:rFonts w:cs="campton-book"/>
          <w:i/>
          <w:color w:val="auto"/>
        </w:rPr>
      </w:pPr>
    </w:p>
    <w:p w14:paraId="1C239F4E" w14:textId="05402499" w:rsidR="00AE0FD2" w:rsidRPr="00AE0FD2" w:rsidRDefault="00AE0FD2" w:rsidP="00B62A09">
      <w:pPr>
        <w:spacing w:line="260" w:lineRule="exact"/>
        <w:rPr>
          <w:color w:val="auto"/>
        </w:rPr>
      </w:pPr>
      <w:r w:rsidRPr="00AE0FD2">
        <w:rPr>
          <w:color w:val="auto"/>
        </w:rPr>
        <w:t>AAU har kommenteret at:</w:t>
      </w:r>
    </w:p>
    <w:p w14:paraId="0762C8C9" w14:textId="77777777" w:rsidR="00AE0FD2" w:rsidRPr="00AE0FD2" w:rsidRDefault="009F42B5" w:rsidP="007A6B50">
      <w:pPr>
        <w:pStyle w:val="Listeafsnit"/>
        <w:numPr>
          <w:ilvl w:val="0"/>
          <w:numId w:val="14"/>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 xml:space="preserve">institutioner der ikke benytter Navision Stat, kan have en række udfordringer omkring især de </w:t>
      </w:r>
      <w:r w:rsidR="00AE0FD2" w:rsidRPr="00AE0FD2">
        <w:rPr>
          <w:rFonts w:cs="campton-book"/>
          <w:i/>
          <w:color w:val="auto"/>
        </w:rPr>
        <w:t>eksternt finansierede projekter</w:t>
      </w:r>
    </w:p>
    <w:p w14:paraId="2B87F780" w14:textId="05F7F48D" w:rsidR="009F42B5" w:rsidRPr="00AE0FD2" w:rsidRDefault="009F42B5" w:rsidP="007A6B50">
      <w:pPr>
        <w:pStyle w:val="Listeafsnit"/>
        <w:numPr>
          <w:ilvl w:val="0"/>
          <w:numId w:val="14"/>
        </w:numPr>
        <w:tabs>
          <w:tab w:val="clear" w:pos="454"/>
        </w:tabs>
        <w:autoSpaceDE w:val="0"/>
        <w:autoSpaceDN w:val="0"/>
        <w:adjustRightInd w:val="0"/>
        <w:spacing w:after="80" w:line="260" w:lineRule="exact"/>
        <w:ind w:left="714" w:hanging="357"/>
        <w:contextualSpacing w:val="0"/>
        <w:rPr>
          <w:rFonts w:cs="campton-book"/>
          <w:i/>
          <w:color w:val="auto"/>
        </w:rPr>
      </w:pPr>
      <w:r w:rsidRPr="00AE0FD2">
        <w:rPr>
          <w:rFonts w:cs="campton-book"/>
          <w:i/>
          <w:color w:val="auto"/>
        </w:rPr>
        <w:t>der kan være udfordringer i forhold til integrationer med andre systemer i det omfang der ikke blot benyttes kontobro til statens kontoplan</w:t>
      </w:r>
    </w:p>
    <w:p w14:paraId="492E4862" w14:textId="77777777" w:rsidR="00BB183D" w:rsidRPr="001462D6" w:rsidRDefault="00BB183D" w:rsidP="001462D6">
      <w:pPr>
        <w:tabs>
          <w:tab w:val="clear" w:pos="454"/>
        </w:tabs>
        <w:autoSpaceDE w:val="0"/>
        <w:autoSpaceDN w:val="0"/>
        <w:adjustRightInd w:val="0"/>
        <w:spacing w:line="260" w:lineRule="exact"/>
        <w:rPr>
          <w:rFonts w:cs="campton-book"/>
          <w:color w:val="auto"/>
        </w:rPr>
      </w:pPr>
    </w:p>
    <w:p w14:paraId="1B67CAEE" w14:textId="4005F600" w:rsidR="00ED78A7" w:rsidRDefault="00ED78A7" w:rsidP="001462D6">
      <w:pPr>
        <w:spacing w:line="260" w:lineRule="exact"/>
        <w:rPr>
          <w:color w:val="auto"/>
        </w:rPr>
      </w:pPr>
    </w:p>
    <w:p w14:paraId="3FBB3FDB" w14:textId="77777777" w:rsidR="00ED78A7" w:rsidRDefault="00ED78A7" w:rsidP="001462D6">
      <w:pPr>
        <w:spacing w:line="260" w:lineRule="exact"/>
        <w:rPr>
          <w:color w:val="auto"/>
        </w:rPr>
      </w:pPr>
    </w:p>
    <w:p w14:paraId="36B842CB" w14:textId="77777777" w:rsidR="00755274" w:rsidRPr="00BC658A" w:rsidRDefault="00755274" w:rsidP="00755274">
      <w:pPr>
        <w:pStyle w:val="Overskrift1"/>
        <w:numPr>
          <w:ilvl w:val="0"/>
          <w:numId w:val="26"/>
        </w:numPr>
        <w:rPr>
          <w:color w:val="auto"/>
        </w:rPr>
      </w:pPr>
      <w:bookmarkStart w:id="3" w:name="_Toc514319615"/>
      <w:bookmarkStart w:id="4" w:name="_Toc514319616"/>
      <w:bookmarkStart w:id="5" w:name="_Toc514319617"/>
      <w:bookmarkStart w:id="6" w:name="_Toc19280583"/>
      <w:bookmarkEnd w:id="3"/>
      <w:bookmarkEnd w:id="4"/>
      <w:bookmarkEnd w:id="5"/>
      <w:r w:rsidRPr="00BC658A">
        <w:rPr>
          <w:color w:val="auto"/>
        </w:rPr>
        <w:lastRenderedPageBreak/>
        <w:t>Artsdimension – statens kontoplan</w:t>
      </w:r>
      <w:bookmarkEnd w:id="6"/>
    </w:p>
    <w:p w14:paraId="55E73266" w14:textId="77777777" w:rsidR="00755274" w:rsidRPr="00BC658A" w:rsidRDefault="00755274" w:rsidP="00755274">
      <w:pPr>
        <w:spacing w:before="120"/>
        <w:rPr>
          <w:color w:val="auto"/>
        </w:rPr>
      </w:pPr>
      <w:r w:rsidRPr="00BC658A">
        <w:rPr>
          <w:noProof/>
          <w:color w:val="auto"/>
          <w:lang w:eastAsia="da-DK"/>
        </w:rPr>
        <w:t>Institutionen skal løbende registrere driftsposteringer på artsdimensionen, der udgøres af Statens Kontoplan.</w:t>
      </w:r>
    </w:p>
    <w:p w14:paraId="218545ED" w14:textId="77777777" w:rsidR="00755274" w:rsidRPr="00BC658A" w:rsidRDefault="00755274" w:rsidP="00755274">
      <w:pPr>
        <w:rPr>
          <w:color w:val="auto"/>
        </w:rPr>
      </w:pPr>
    </w:p>
    <w:p w14:paraId="10D86AE5" w14:textId="77777777" w:rsidR="00755274" w:rsidRPr="00BC658A" w:rsidRDefault="00755274" w:rsidP="00755274">
      <w:pPr>
        <w:spacing w:line="260" w:lineRule="exact"/>
        <w:rPr>
          <w:color w:val="auto"/>
        </w:rPr>
      </w:pPr>
      <w:r w:rsidRPr="00BC658A">
        <w:rPr>
          <w:color w:val="auto"/>
        </w:rPr>
        <w:t xml:space="preserve">Statens kontoplan offentliggøres og vedligeholdes af Moderniseringsstyrelsen og findes på: </w:t>
      </w:r>
      <w:hyperlink r:id="rId12" w:history="1">
        <w:r w:rsidRPr="00BC658A">
          <w:rPr>
            <w:rStyle w:val="Hyperlink"/>
            <w:color w:val="auto"/>
          </w:rPr>
          <w:t>http://www.modst.dk/oeav/5-kontoplan/statens-kontoplan-2011</w:t>
        </w:r>
      </w:hyperlink>
      <w:r>
        <w:rPr>
          <w:rStyle w:val="Hyperlink"/>
          <w:color w:val="auto"/>
        </w:rPr>
        <w:t xml:space="preserve">. </w:t>
      </w:r>
      <w:r w:rsidRPr="005D24B3">
        <w:rPr>
          <w:rStyle w:val="Hyperlink"/>
          <w:color w:val="auto"/>
        </w:rPr>
        <w:t xml:space="preserve"> </w:t>
      </w:r>
      <w:r w:rsidRPr="00BC658A">
        <w:rPr>
          <w:color w:val="auto"/>
        </w:rPr>
        <w:t>Af linket fremgår ligeledes den komplette konteringsvejledning for Statens Kontoplan. Nedenfor beskrives strukturen i Statens kontoplan.</w:t>
      </w:r>
    </w:p>
    <w:p w14:paraId="598985D7" w14:textId="77777777" w:rsidR="00755274" w:rsidRPr="00BC658A" w:rsidRDefault="00755274" w:rsidP="00755274">
      <w:pPr>
        <w:spacing w:line="260" w:lineRule="exact"/>
        <w:rPr>
          <w:color w:val="auto"/>
        </w:rPr>
      </w:pPr>
    </w:p>
    <w:p w14:paraId="0BE08138" w14:textId="77777777" w:rsidR="00755274" w:rsidRPr="00BC658A" w:rsidRDefault="00755274" w:rsidP="00755274">
      <w:pPr>
        <w:spacing w:line="260" w:lineRule="exact"/>
        <w:rPr>
          <w:i/>
          <w:color w:val="auto"/>
        </w:rPr>
      </w:pPr>
      <w:r w:rsidRPr="00BC658A">
        <w:rPr>
          <w:i/>
          <w:color w:val="auto"/>
          <w:highlight w:val="lightGray"/>
        </w:rPr>
        <w:t xml:space="preserve">[Modst og SIU afholder en workshop om anvendelse af statens kontoplan i den fælles kontoplan torsdag d. 19. september (læs mere her </w:t>
      </w:r>
      <w:hyperlink r:id="rId13" w:history="1">
        <w:r w:rsidRPr="00BC658A">
          <w:rPr>
            <w:rStyle w:val="Hyperlink"/>
            <w:rFonts w:asciiTheme="minorHAnsi" w:hAnsiTheme="minorHAnsi" w:cstheme="minorHAnsi"/>
            <w:sz w:val="21"/>
            <w:szCs w:val="21"/>
            <w:highlight w:val="lightGray"/>
          </w:rPr>
          <w:t>www.ufm.dk/faelles-kontoplan</w:t>
        </w:r>
      </w:hyperlink>
      <w:r w:rsidRPr="00BC658A">
        <w:rPr>
          <w:rFonts w:asciiTheme="minorHAnsi" w:hAnsiTheme="minorHAnsi" w:cstheme="minorHAnsi"/>
          <w:color w:val="auto"/>
          <w:sz w:val="21"/>
          <w:szCs w:val="21"/>
          <w:highlight w:val="lightGray"/>
        </w:rPr>
        <w:t>)</w:t>
      </w:r>
      <w:r w:rsidRPr="00BC658A">
        <w:rPr>
          <w:i/>
          <w:color w:val="auto"/>
          <w:highlight w:val="lightGray"/>
        </w:rPr>
        <w:t>, hvorefter behov for yderligere beskrivelse af retningslinjer vurderes].</w:t>
      </w:r>
      <w:r w:rsidRPr="00BC658A">
        <w:rPr>
          <w:i/>
          <w:color w:val="auto"/>
        </w:rPr>
        <w:t xml:space="preserve"> </w:t>
      </w:r>
    </w:p>
    <w:p w14:paraId="3EC9FB57" w14:textId="77777777" w:rsidR="00755274" w:rsidRPr="00BC658A" w:rsidRDefault="00755274" w:rsidP="00755274">
      <w:pPr>
        <w:spacing w:line="260" w:lineRule="exact"/>
        <w:rPr>
          <w:color w:val="auto"/>
        </w:rPr>
      </w:pPr>
    </w:p>
    <w:p w14:paraId="65BC02B5" w14:textId="77777777" w:rsidR="00755274" w:rsidRPr="00BC658A" w:rsidRDefault="00755274" w:rsidP="00755274">
      <w:pPr>
        <w:spacing w:line="240" w:lineRule="auto"/>
        <w:rPr>
          <w:b/>
          <w:color w:val="auto"/>
        </w:rPr>
      </w:pPr>
      <w:r w:rsidRPr="00BC658A">
        <w:rPr>
          <w:b/>
          <w:color w:val="auto"/>
        </w:rPr>
        <w:t>Struktur</w:t>
      </w:r>
    </w:p>
    <w:p w14:paraId="78C0CC3E" w14:textId="77777777" w:rsidR="00755274" w:rsidRPr="00BC658A" w:rsidRDefault="00755274" w:rsidP="00755274">
      <w:pPr>
        <w:spacing w:line="240" w:lineRule="auto"/>
        <w:rPr>
          <w:b/>
          <w:color w:val="auto"/>
        </w:rPr>
      </w:pPr>
    </w:p>
    <w:p w14:paraId="17685558" w14:textId="77777777" w:rsidR="00755274" w:rsidRPr="00BC658A" w:rsidRDefault="00755274" w:rsidP="00755274">
      <w:pPr>
        <w:rPr>
          <w:color w:val="auto"/>
        </w:rPr>
      </w:pPr>
      <w:r w:rsidRPr="00BC658A">
        <w:rPr>
          <w:color w:val="auto"/>
        </w:rPr>
        <w:t>Statens Kontoplan er bygget op om fire obligatoriske cifre, der påføres alle institutionens økonomiske transaktioner og således omfatter både resultatopgørelse og balance. I tillæg til de fire obligatoriske cifre er det muligt at benytte yderligere institutionsspecifikke cifre (fri specifikation).</w:t>
      </w:r>
    </w:p>
    <w:p w14:paraId="189EDD53" w14:textId="77777777" w:rsidR="00755274" w:rsidRPr="00BC658A" w:rsidRDefault="00755274" w:rsidP="00755274">
      <w:pPr>
        <w:tabs>
          <w:tab w:val="left" w:pos="7655"/>
        </w:tabs>
        <w:spacing w:line="240" w:lineRule="auto"/>
        <w:rPr>
          <w:color w:val="auto"/>
        </w:rPr>
      </w:pPr>
    </w:p>
    <w:p w14:paraId="219D7027" w14:textId="77777777" w:rsidR="00755274" w:rsidRPr="00BC658A" w:rsidRDefault="00755274" w:rsidP="00755274">
      <w:pPr>
        <w:tabs>
          <w:tab w:val="left" w:pos="7655"/>
        </w:tabs>
        <w:spacing w:line="240" w:lineRule="auto"/>
        <w:rPr>
          <w:color w:val="auto"/>
        </w:rPr>
      </w:pPr>
      <w:r w:rsidRPr="00BC658A">
        <w:rPr>
          <w:color w:val="auto"/>
        </w:rPr>
        <w:t>Den fælles kontoplan følger de statslige regler således at det er obligatorisk at anvende de fire første cifre, mens de videregående uddannelsesinstitutioner frit kan disponere over yderligere cifre.</w:t>
      </w:r>
    </w:p>
    <w:p w14:paraId="2FE44815" w14:textId="77777777" w:rsidR="00755274" w:rsidRPr="00BC658A" w:rsidRDefault="00755274" w:rsidP="00755274">
      <w:pPr>
        <w:tabs>
          <w:tab w:val="left" w:pos="7655"/>
        </w:tabs>
        <w:spacing w:line="240" w:lineRule="auto"/>
        <w:rPr>
          <w:color w:val="auto"/>
        </w:rPr>
      </w:pPr>
    </w:p>
    <w:p w14:paraId="63AE2525" w14:textId="77777777" w:rsidR="00755274" w:rsidRPr="00BC658A" w:rsidRDefault="00755274" w:rsidP="00755274">
      <w:pPr>
        <w:spacing w:line="240" w:lineRule="auto"/>
        <w:outlineLvl w:val="1"/>
        <w:rPr>
          <w:color w:val="auto"/>
        </w:rPr>
      </w:pPr>
    </w:p>
    <w:tbl>
      <w:tblPr>
        <w:tblStyle w:val="Tabel-Gitter"/>
        <w:tblW w:w="5000" w:type="pct"/>
        <w:tblLook w:val="04A0" w:firstRow="1" w:lastRow="0" w:firstColumn="1" w:lastColumn="0" w:noHBand="0" w:noVBand="1"/>
      </w:tblPr>
      <w:tblGrid>
        <w:gridCol w:w="1143"/>
        <w:gridCol w:w="7917"/>
      </w:tblGrid>
      <w:tr w:rsidR="00755274" w:rsidRPr="00BC658A" w14:paraId="11C08500" w14:textId="77777777" w:rsidTr="00CF368B">
        <w:tc>
          <w:tcPr>
            <w:tcW w:w="1050" w:type="dxa"/>
          </w:tcPr>
          <w:p w14:paraId="2AD3DC47" w14:textId="77777777" w:rsidR="00755274" w:rsidRPr="00BC658A" w:rsidRDefault="00755274" w:rsidP="00CF368B">
            <w:pPr>
              <w:tabs>
                <w:tab w:val="left" w:pos="7655"/>
              </w:tabs>
              <w:rPr>
                <w:b/>
                <w:color w:val="auto"/>
              </w:rPr>
            </w:pPr>
            <w:r w:rsidRPr="00BC658A">
              <w:rPr>
                <w:b/>
                <w:color w:val="auto"/>
              </w:rPr>
              <w:t>1.-2. ciffer</w:t>
            </w:r>
          </w:p>
        </w:tc>
        <w:tc>
          <w:tcPr>
            <w:tcW w:w="7273" w:type="dxa"/>
          </w:tcPr>
          <w:p w14:paraId="1CB64F7C" w14:textId="77777777" w:rsidR="00755274" w:rsidRPr="00BC658A" w:rsidRDefault="00755274" w:rsidP="00CF368B">
            <w:pPr>
              <w:tabs>
                <w:tab w:val="left" w:pos="7655"/>
              </w:tabs>
              <w:rPr>
                <w:color w:val="auto"/>
              </w:rPr>
            </w:pPr>
            <w:r w:rsidRPr="00BC658A">
              <w:rPr>
                <w:b/>
                <w:color w:val="auto"/>
              </w:rPr>
              <w:t>Standardkonto</w:t>
            </w:r>
          </w:p>
          <w:p w14:paraId="19140AA9" w14:textId="77777777" w:rsidR="00755274" w:rsidRPr="00BC658A" w:rsidRDefault="00755274" w:rsidP="00CF368B">
            <w:pPr>
              <w:tabs>
                <w:tab w:val="left" w:pos="7655"/>
              </w:tabs>
              <w:rPr>
                <w:color w:val="auto"/>
              </w:rPr>
            </w:pPr>
            <w:r w:rsidRPr="00BC658A">
              <w:rPr>
                <w:color w:val="auto"/>
              </w:rPr>
              <w:t>Dette niveau anvendes ved indrapportering til finansloven og afrapportering i statsregnskabet (for institutioner der indgår i statsregnskabet).</w:t>
            </w:r>
          </w:p>
          <w:p w14:paraId="30E9BB3B" w14:textId="77777777" w:rsidR="00755274" w:rsidRPr="00BC658A" w:rsidRDefault="00755274" w:rsidP="00CF368B">
            <w:pPr>
              <w:tabs>
                <w:tab w:val="left" w:pos="7655"/>
              </w:tabs>
              <w:rPr>
                <w:color w:val="auto"/>
              </w:rPr>
            </w:pPr>
            <w:r w:rsidRPr="00BC658A">
              <w:rPr>
                <w:color w:val="auto"/>
              </w:rPr>
              <w:t>Der vil på standardkontoniveauet være flere konti, der udelukkende anvendes ved budgetteringen.</w:t>
            </w:r>
          </w:p>
        </w:tc>
      </w:tr>
      <w:tr w:rsidR="00755274" w:rsidRPr="00BC658A" w14:paraId="06909BDE" w14:textId="77777777" w:rsidTr="00CF368B">
        <w:tc>
          <w:tcPr>
            <w:tcW w:w="1050" w:type="dxa"/>
          </w:tcPr>
          <w:p w14:paraId="21BB1E2E" w14:textId="77777777" w:rsidR="00755274" w:rsidRPr="00BC658A" w:rsidRDefault="00755274" w:rsidP="00CF368B">
            <w:pPr>
              <w:tabs>
                <w:tab w:val="left" w:pos="7655"/>
              </w:tabs>
              <w:rPr>
                <w:b/>
                <w:color w:val="auto"/>
              </w:rPr>
            </w:pPr>
            <w:r w:rsidRPr="00BC658A">
              <w:rPr>
                <w:b/>
                <w:color w:val="auto"/>
              </w:rPr>
              <w:t>3. ciffer</w:t>
            </w:r>
          </w:p>
        </w:tc>
        <w:tc>
          <w:tcPr>
            <w:tcW w:w="7273" w:type="dxa"/>
          </w:tcPr>
          <w:p w14:paraId="228181A3" w14:textId="77777777" w:rsidR="00755274" w:rsidRPr="00BC658A" w:rsidRDefault="00755274" w:rsidP="00CF368B">
            <w:pPr>
              <w:tabs>
                <w:tab w:val="left" w:pos="7655"/>
              </w:tabs>
              <w:rPr>
                <w:color w:val="auto"/>
              </w:rPr>
            </w:pPr>
            <w:r w:rsidRPr="00BC658A">
              <w:rPr>
                <w:b/>
                <w:color w:val="auto"/>
              </w:rPr>
              <w:t>Specifikation</w:t>
            </w:r>
          </w:p>
          <w:p w14:paraId="5D570329" w14:textId="77777777" w:rsidR="00755274" w:rsidRPr="00BC658A" w:rsidRDefault="00755274" w:rsidP="00CF368B">
            <w:pPr>
              <w:tabs>
                <w:tab w:val="left" w:pos="7655"/>
              </w:tabs>
              <w:rPr>
                <w:color w:val="auto"/>
              </w:rPr>
            </w:pPr>
            <w:r w:rsidRPr="00BC658A">
              <w:rPr>
                <w:color w:val="auto"/>
              </w:rPr>
              <w:t>Dette niveau anvendes til en specifikation af den enkelte standardkonto. Eksempelvis vil varekøb på dette niveau blive opdelt på rejser og befordring, repræsentation osv.</w:t>
            </w:r>
          </w:p>
          <w:p w14:paraId="6E211788" w14:textId="77777777" w:rsidR="00755274" w:rsidRPr="00BC658A" w:rsidRDefault="00755274" w:rsidP="00CF368B">
            <w:pPr>
              <w:tabs>
                <w:tab w:val="left" w:pos="7655"/>
              </w:tabs>
              <w:rPr>
                <w:color w:val="auto"/>
              </w:rPr>
            </w:pPr>
            <w:r w:rsidRPr="00BC658A">
              <w:rPr>
                <w:color w:val="auto"/>
              </w:rPr>
              <w:t xml:space="preserve">Dette niveau er enkelte steder anvendt til en forenkling af standardkontoplanen, således at forskellige nuværende standardkonti samles på andet ciffer og i stedet specificeres på tredje ciffer. </w:t>
            </w:r>
          </w:p>
        </w:tc>
      </w:tr>
      <w:tr w:rsidR="00755274" w:rsidRPr="00BC658A" w14:paraId="6FEFC9F3" w14:textId="77777777" w:rsidTr="00CF368B">
        <w:tc>
          <w:tcPr>
            <w:tcW w:w="1050" w:type="dxa"/>
          </w:tcPr>
          <w:p w14:paraId="74B85702" w14:textId="77777777" w:rsidR="00755274" w:rsidRPr="00BC658A" w:rsidRDefault="00755274" w:rsidP="00CF368B">
            <w:pPr>
              <w:tabs>
                <w:tab w:val="left" w:pos="7655"/>
              </w:tabs>
              <w:rPr>
                <w:b/>
                <w:color w:val="auto"/>
              </w:rPr>
            </w:pPr>
            <w:r w:rsidRPr="00BC658A">
              <w:rPr>
                <w:b/>
                <w:color w:val="auto"/>
              </w:rPr>
              <w:t>4. ciffer</w:t>
            </w:r>
          </w:p>
        </w:tc>
        <w:tc>
          <w:tcPr>
            <w:tcW w:w="7273" w:type="dxa"/>
          </w:tcPr>
          <w:p w14:paraId="5EEECCE1" w14:textId="77777777" w:rsidR="00755274" w:rsidRPr="00BC658A" w:rsidRDefault="00755274" w:rsidP="00CF368B">
            <w:pPr>
              <w:tabs>
                <w:tab w:val="left" w:pos="7655"/>
              </w:tabs>
              <w:rPr>
                <w:color w:val="auto"/>
              </w:rPr>
            </w:pPr>
            <w:r w:rsidRPr="00BC658A">
              <w:rPr>
                <w:b/>
                <w:color w:val="auto"/>
              </w:rPr>
              <w:t>Underspecifikation</w:t>
            </w:r>
          </w:p>
          <w:p w14:paraId="0A36B5F9" w14:textId="77777777" w:rsidR="00755274" w:rsidRPr="00BC658A" w:rsidRDefault="00755274" w:rsidP="00CF368B">
            <w:pPr>
              <w:tabs>
                <w:tab w:val="left" w:pos="7655"/>
              </w:tabs>
              <w:rPr>
                <w:color w:val="auto"/>
              </w:rPr>
            </w:pPr>
            <w:r w:rsidRPr="00BC658A">
              <w:rPr>
                <w:color w:val="auto"/>
              </w:rPr>
              <w:t>Dette niveau anvendes til en yderligere specifikation. På visse beholdningsposter vil dette ciffer blive brugt til at håndtere registrering af forskellige hændelser (tilgang, afgang, nedskrivning, etc.)</w:t>
            </w:r>
          </w:p>
        </w:tc>
      </w:tr>
      <w:tr w:rsidR="00755274" w:rsidRPr="00BC658A" w14:paraId="230F066F" w14:textId="77777777" w:rsidTr="00CF368B">
        <w:tc>
          <w:tcPr>
            <w:tcW w:w="1050" w:type="dxa"/>
          </w:tcPr>
          <w:p w14:paraId="5D236DD4" w14:textId="77777777" w:rsidR="00755274" w:rsidRPr="00BC658A" w:rsidRDefault="00755274" w:rsidP="00CF368B">
            <w:pPr>
              <w:tabs>
                <w:tab w:val="left" w:pos="7655"/>
              </w:tabs>
              <w:rPr>
                <w:b/>
                <w:color w:val="auto"/>
              </w:rPr>
            </w:pPr>
            <w:r w:rsidRPr="00BC658A">
              <w:rPr>
                <w:b/>
                <w:color w:val="auto"/>
              </w:rPr>
              <w:t>5.-10. ciffer</w:t>
            </w:r>
          </w:p>
        </w:tc>
        <w:tc>
          <w:tcPr>
            <w:tcW w:w="7273" w:type="dxa"/>
          </w:tcPr>
          <w:p w14:paraId="33395647" w14:textId="77777777" w:rsidR="00755274" w:rsidRPr="00BC658A" w:rsidRDefault="00755274" w:rsidP="00CF368B">
            <w:pPr>
              <w:tabs>
                <w:tab w:val="left" w:pos="7655"/>
              </w:tabs>
              <w:rPr>
                <w:color w:val="auto"/>
              </w:rPr>
            </w:pPr>
            <w:r w:rsidRPr="00BC658A">
              <w:rPr>
                <w:b/>
                <w:color w:val="auto"/>
              </w:rPr>
              <w:t>Fri specifikation</w:t>
            </w:r>
          </w:p>
          <w:p w14:paraId="39AFA9BA" w14:textId="77777777" w:rsidR="00755274" w:rsidRPr="00BC658A" w:rsidRDefault="00755274" w:rsidP="00CF368B">
            <w:pPr>
              <w:tabs>
                <w:tab w:val="left" w:pos="7655"/>
              </w:tabs>
              <w:rPr>
                <w:color w:val="auto"/>
              </w:rPr>
            </w:pPr>
            <w:r w:rsidRPr="00BC658A">
              <w:rPr>
                <w:color w:val="auto"/>
              </w:rPr>
              <w:t>Dette niveau anvendes til fri specifikation. Det vil således være muligt at specificere i henhold til institutionsspecifikke behov.</w:t>
            </w:r>
            <w:r w:rsidRPr="00BC658A" w:rsidDel="00681251">
              <w:rPr>
                <w:color w:val="auto"/>
              </w:rPr>
              <w:t xml:space="preserve"> </w:t>
            </w:r>
          </w:p>
        </w:tc>
      </w:tr>
    </w:tbl>
    <w:p w14:paraId="12769D34" w14:textId="77777777" w:rsidR="00755274" w:rsidRPr="00BC658A" w:rsidRDefault="00755274" w:rsidP="00755274">
      <w:pPr>
        <w:tabs>
          <w:tab w:val="left" w:pos="7655"/>
        </w:tabs>
        <w:spacing w:line="240" w:lineRule="auto"/>
        <w:rPr>
          <w:color w:val="auto"/>
        </w:rPr>
      </w:pPr>
    </w:p>
    <w:p w14:paraId="6B79954D" w14:textId="77777777" w:rsidR="00755274" w:rsidRPr="00BC658A" w:rsidRDefault="00755274" w:rsidP="00755274">
      <w:pPr>
        <w:pStyle w:val="NormalWeb"/>
        <w:spacing w:after="0" w:line="240" w:lineRule="auto"/>
      </w:pPr>
      <w:r w:rsidRPr="00BC658A">
        <w:rPr>
          <w:rFonts w:ascii="Georgia" w:hAnsi="Georgia"/>
          <w:sz w:val="19"/>
          <w:szCs w:val="19"/>
          <w:lang w:eastAsia="en-US"/>
        </w:rPr>
        <w:t>De videregående uddannelsesinstitutioner skal årligt afrapportere på de fire første cifre.</w:t>
      </w:r>
      <w:r w:rsidRPr="00BC658A">
        <w:rPr>
          <w:rFonts w:ascii="Georgia" w:hAnsi="Georgia"/>
          <w:sz w:val="19"/>
          <w:szCs w:val="19"/>
          <w:lang w:eastAsia="en-US"/>
        </w:rPr>
        <w:br w:type="page"/>
      </w:r>
    </w:p>
    <w:p w14:paraId="32619AC4" w14:textId="77777777" w:rsidR="00755274" w:rsidRPr="00BC658A" w:rsidRDefault="00755274" w:rsidP="00755274">
      <w:pPr>
        <w:pStyle w:val="Overskrift1"/>
        <w:numPr>
          <w:ilvl w:val="0"/>
          <w:numId w:val="26"/>
        </w:numPr>
        <w:tabs>
          <w:tab w:val="left" w:pos="6521"/>
        </w:tabs>
        <w:rPr>
          <w:color w:val="auto"/>
        </w:rPr>
      </w:pPr>
      <w:bookmarkStart w:id="7" w:name="_Toc514319619"/>
      <w:bookmarkStart w:id="8" w:name="_Toc19280584"/>
      <w:r w:rsidRPr="00BC658A">
        <w:rPr>
          <w:color w:val="auto"/>
        </w:rPr>
        <w:lastRenderedPageBreak/>
        <w:t>Delregnskab</w:t>
      </w:r>
      <w:bookmarkEnd w:id="7"/>
      <w:bookmarkEnd w:id="8"/>
    </w:p>
    <w:p w14:paraId="657B2B57" w14:textId="77777777" w:rsidR="00755274" w:rsidRPr="00BC658A" w:rsidRDefault="00755274" w:rsidP="00755274">
      <w:pPr>
        <w:rPr>
          <w:color w:val="auto"/>
        </w:rPr>
      </w:pPr>
      <w:r w:rsidRPr="00BC658A">
        <w:rPr>
          <w:noProof/>
          <w:color w:val="auto"/>
          <w:lang w:eastAsia="da-DK"/>
        </w:rPr>
        <w:t xml:space="preserve">Institutionen skal løbende registrere driftsposteringer på dimensionen delregnskab. </w:t>
      </w:r>
      <w:r w:rsidRPr="00BC658A">
        <w:rPr>
          <w:color w:val="auto"/>
        </w:rPr>
        <w:t xml:space="preserve">Dimensionen </w:t>
      </w:r>
      <w:r>
        <w:rPr>
          <w:color w:val="auto"/>
        </w:rPr>
        <w:t xml:space="preserve">anvendes til at afskille </w:t>
      </w:r>
      <w:r w:rsidRPr="00BC658A">
        <w:rPr>
          <w:color w:val="auto"/>
        </w:rPr>
        <w:t>de forskellige typer virksomhed, som de videregående uddannelsesinstitutioner, kan udføre</w:t>
      </w:r>
      <w:r w:rsidRPr="00BC658A">
        <w:rPr>
          <w:noProof/>
          <w:color w:val="auto"/>
          <w:lang w:eastAsia="da-DK"/>
        </w:rPr>
        <w:t xml:space="preserve">, </w:t>
      </w:r>
      <w:r w:rsidRPr="00BC658A">
        <w:rPr>
          <w:i/>
          <w:noProof/>
          <w:color w:val="auto"/>
          <w:lang w:eastAsia="da-DK"/>
        </w:rPr>
        <w:t>jf. Finansministeriets budgetvejledning</w:t>
      </w:r>
      <w:r w:rsidRPr="00BC658A">
        <w:rPr>
          <w:color w:val="auto"/>
        </w:rPr>
        <w:t>:</w:t>
      </w:r>
    </w:p>
    <w:p w14:paraId="413A9627" w14:textId="77777777" w:rsidR="00755274" w:rsidRPr="00BC658A" w:rsidRDefault="00755274" w:rsidP="00755274">
      <w:pPr>
        <w:rPr>
          <w:color w:val="auto"/>
        </w:rPr>
      </w:pPr>
    </w:p>
    <w:p w14:paraId="7F9F1F12" w14:textId="77777777" w:rsidR="00755274" w:rsidRPr="00BC658A" w:rsidRDefault="00755274" w:rsidP="00755274">
      <w:pPr>
        <w:pStyle w:val="Listeafsnit"/>
        <w:numPr>
          <w:ilvl w:val="0"/>
          <w:numId w:val="3"/>
        </w:numPr>
        <w:tabs>
          <w:tab w:val="clear" w:pos="454"/>
          <w:tab w:val="left" w:pos="709"/>
        </w:tabs>
        <w:rPr>
          <w:color w:val="auto"/>
        </w:rPr>
      </w:pPr>
      <w:r w:rsidRPr="00BC658A">
        <w:rPr>
          <w:color w:val="auto"/>
        </w:rPr>
        <w:t xml:space="preserve">Almindelig virksomhed </w:t>
      </w:r>
    </w:p>
    <w:p w14:paraId="1677EBA1" w14:textId="77777777" w:rsidR="00755274" w:rsidRPr="00BC658A" w:rsidRDefault="00755274" w:rsidP="00755274">
      <w:pPr>
        <w:pStyle w:val="Listeafsnit"/>
        <w:numPr>
          <w:ilvl w:val="0"/>
          <w:numId w:val="3"/>
        </w:numPr>
        <w:tabs>
          <w:tab w:val="clear" w:pos="454"/>
          <w:tab w:val="left" w:pos="709"/>
        </w:tabs>
        <w:rPr>
          <w:color w:val="auto"/>
        </w:rPr>
      </w:pPr>
      <w:r w:rsidRPr="00BC658A">
        <w:rPr>
          <w:color w:val="auto"/>
        </w:rPr>
        <w:t xml:space="preserve">Indtægtsdækket virksomhed </w:t>
      </w:r>
    </w:p>
    <w:p w14:paraId="11973D28" w14:textId="77777777" w:rsidR="00755274" w:rsidRPr="00BC658A" w:rsidRDefault="00755274" w:rsidP="00755274">
      <w:pPr>
        <w:pStyle w:val="Listeafsnit"/>
        <w:numPr>
          <w:ilvl w:val="0"/>
          <w:numId w:val="3"/>
        </w:numPr>
        <w:tabs>
          <w:tab w:val="clear" w:pos="454"/>
          <w:tab w:val="left" w:pos="709"/>
        </w:tabs>
        <w:rPr>
          <w:color w:val="auto"/>
        </w:rPr>
      </w:pPr>
      <w:r w:rsidRPr="00BC658A">
        <w:rPr>
          <w:color w:val="auto"/>
        </w:rPr>
        <w:t>Tilskudsfinansierede aktiviteter</w:t>
      </w:r>
    </w:p>
    <w:p w14:paraId="7211EDD0" w14:textId="77777777" w:rsidR="00755274" w:rsidRPr="00BC658A" w:rsidRDefault="00755274" w:rsidP="00755274">
      <w:pPr>
        <w:pStyle w:val="Listeafsnit"/>
        <w:numPr>
          <w:ilvl w:val="0"/>
          <w:numId w:val="3"/>
        </w:numPr>
        <w:tabs>
          <w:tab w:val="clear" w:pos="454"/>
          <w:tab w:val="left" w:pos="709"/>
        </w:tabs>
        <w:rPr>
          <w:color w:val="auto"/>
        </w:rPr>
      </w:pPr>
      <w:r w:rsidRPr="00BC658A">
        <w:rPr>
          <w:color w:val="auto"/>
        </w:rPr>
        <w:t>Tilskudsfinansierede forskningsaktiviteter.</w:t>
      </w:r>
    </w:p>
    <w:p w14:paraId="34DD2CF0" w14:textId="77777777" w:rsidR="00755274" w:rsidRPr="00BC658A" w:rsidRDefault="00755274" w:rsidP="00755274">
      <w:pPr>
        <w:tabs>
          <w:tab w:val="clear" w:pos="454"/>
          <w:tab w:val="left" w:pos="709"/>
        </w:tabs>
        <w:rPr>
          <w:color w:val="auto"/>
        </w:rPr>
      </w:pPr>
    </w:p>
    <w:p w14:paraId="2411CE14" w14:textId="77777777" w:rsidR="00755274" w:rsidRPr="00BC658A" w:rsidRDefault="00755274" w:rsidP="00755274">
      <w:pPr>
        <w:tabs>
          <w:tab w:val="clear" w:pos="454"/>
          <w:tab w:val="left" w:pos="709"/>
        </w:tabs>
        <w:rPr>
          <w:i/>
          <w:color w:val="auto"/>
        </w:rPr>
      </w:pPr>
      <w:r w:rsidRPr="00BC658A">
        <w:rPr>
          <w:i/>
          <w:color w:val="auto"/>
        </w:rPr>
        <w:t>Oprettelse af nye delregnskaber</w:t>
      </w:r>
    </w:p>
    <w:p w14:paraId="5A1B9567" w14:textId="77777777" w:rsidR="00755274" w:rsidRPr="00BC658A" w:rsidRDefault="00755274" w:rsidP="00755274">
      <w:pPr>
        <w:rPr>
          <w:color w:val="auto"/>
        </w:rPr>
      </w:pPr>
      <w:r w:rsidRPr="00BC658A">
        <w:rPr>
          <w:color w:val="auto"/>
        </w:rPr>
        <w:t>Et lønbærende delregnskab er et</w:t>
      </w:r>
      <w:r w:rsidRPr="00BC658A">
        <w:t xml:space="preserve"> </w:t>
      </w:r>
      <w:proofErr w:type="spellStart"/>
      <w:r w:rsidRPr="00BC658A">
        <w:rPr>
          <w:color w:val="auto"/>
        </w:rPr>
        <w:t>betalingsdelregnskab</w:t>
      </w:r>
      <w:proofErr w:type="spellEnd"/>
      <w:r w:rsidRPr="00BC658A">
        <w:rPr>
          <w:color w:val="auto"/>
        </w:rPr>
        <w:t xml:space="preserve">, hvorfra der trækkes betalinger til kreditorer, såsom pensionskasser, A-skat mv. </w:t>
      </w:r>
      <w:r>
        <w:rPr>
          <w:color w:val="auto"/>
        </w:rPr>
        <w:t xml:space="preserve">Det lønbærende delregnskab </w:t>
      </w:r>
      <w:r w:rsidRPr="00BC658A">
        <w:rPr>
          <w:color w:val="auto"/>
        </w:rPr>
        <w:t xml:space="preserve">vil </w:t>
      </w:r>
      <w:r>
        <w:rPr>
          <w:color w:val="auto"/>
        </w:rPr>
        <w:t>typisk være knyttet t</w:t>
      </w:r>
      <w:r w:rsidRPr="00BC658A">
        <w:rPr>
          <w:color w:val="auto"/>
        </w:rPr>
        <w:t>il delregnskab ’almindelig virksomhed’</w:t>
      </w:r>
      <w:r>
        <w:rPr>
          <w:color w:val="auto"/>
        </w:rPr>
        <w:t xml:space="preserve">, og </w:t>
      </w:r>
      <w:r w:rsidRPr="00BC658A">
        <w:rPr>
          <w:color w:val="auto"/>
        </w:rPr>
        <w:t>Styrelsen for Institutioner og Uddannelsesstøtte anbefaler, at hvis institutionerne i forbindelse med implementeringen af den Fælles Kontoplan ikke opretter nyt regnskab, bør det lønbærende delregnskab forblive på det eksisterende delregnskab. Styrelsen anbefaler, at den enkelte institutionen konsulterer institutionens systemkonsulent eller Moderniseringsstyrelsen.</w:t>
      </w:r>
    </w:p>
    <w:p w14:paraId="6F3F7CD6" w14:textId="77777777" w:rsidR="00755274" w:rsidRPr="00BC658A" w:rsidRDefault="00755274" w:rsidP="00755274">
      <w:pPr>
        <w:rPr>
          <w:color w:val="auto"/>
        </w:rPr>
      </w:pPr>
    </w:p>
    <w:p w14:paraId="71A51793" w14:textId="77777777" w:rsidR="00755274" w:rsidRPr="00BC658A" w:rsidRDefault="00755274" w:rsidP="00755274">
      <w:pPr>
        <w:rPr>
          <w:color w:val="auto"/>
        </w:rPr>
      </w:pPr>
      <w:r w:rsidRPr="00BC658A">
        <w:rPr>
          <w:color w:val="auto"/>
        </w:rPr>
        <w:t>Institutionen kan tildeles yderligere delregnskaber</w:t>
      </w:r>
      <w:r>
        <w:rPr>
          <w:color w:val="auto"/>
        </w:rPr>
        <w:t xml:space="preserve"> efter henvendelse til Moderniseringsstyrelsen</w:t>
      </w:r>
      <w:r w:rsidRPr="00BC658A">
        <w:rPr>
          <w:color w:val="auto"/>
        </w:rPr>
        <w:t xml:space="preserve">. Disse delregnskaber </w:t>
      </w:r>
      <w:r>
        <w:rPr>
          <w:color w:val="auto"/>
        </w:rPr>
        <w:t xml:space="preserve">skal </w:t>
      </w:r>
      <w:r w:rsidRPr="00BC658A">
        <w:rPr>
          <w:color w:val="auto"/>
        </w:rPr>
        <w:t>kunne henføres til en af ovenstående virksomhedstyper.</w:t>
      </w:r>
    </w:p>
    <w:p w14:paraId="658649BA" w14:textId="77777777" w:rsidR="00755274" w:rsidRPr="00BC658A" w:rsidRDefault="00755274" w:rsidP="00755274">
      <w:pPr>
        <w:rPr>
          <w:color w:val="auto"/>
        </w:rPr>
      </w:pPr>
    </w:p>
    <w:p w14:paraId="6BC750FD" w14:textId="77777777" w:rsidR="00755274" w:rsidRDefault="00755274" w:rsidP="00755274">
      <w:pPr>
        <w:rPr>
          <w:color w:val="auto"/>
        </w:rPr>
      </w:pPr>
      <w:r w:rsidRPr="00BC658A">
        <w:rPr>
          <w:color w:val="auto"/>
        </w:rPr>
        <w:t xml:space="preserve">I henhold til budgetvejledningen er det et krav, at de forskellige </w:t>
      </w:r>
      <w:r>
        <w:rPr>
          <w:color w:val="auto"/>
        </w:rPr>
        <w:t>virksomhedstyper</w:t>
      </w:r>
      <w:r w:rsidRPr="00BC658A">
        <w:rPr>
          <w:color w:val="auto"/>
        </w:rPr>
        <w:t xml:space="preserve"> skal holdes adskilt i den enkelte institutions regnskab (jf. BV 2.6.8 – 2.6.10). Institutionen skal derfor på linje med de statslige institutioner anvende dimensionen ”delregnskab” til at holde de forskellige </w:t>
      </w:r>
      <w:r>
        <w:rPr>
          <w:color w:val="auto"/>
        </w:rPr>
        <w:t xml:space="preserve">virksomhedstyper </w:t>
      </w:r>
      <w:r w:rsidRPr="00BC658A">
        <w:rPr>
          <w:color w:val="auto"/>
        </w:rPr>
        <w:t>adskilt i institutionens regnskab med henblik på at sikre en ensartet praksis for registrering på delregnskaberne på tværs af institutionerne. Det gælder både for indtægter og omkostninger.</w:t>
      </w:r>
    </w:p>
    <w:p w14:paraId="587AF3BE" w14:textId="77777777" w:rsidR="00755274" w:rsidRDefault="00755274" w:rsidP="00755274">
      <w:pPr>
        <w:rPr>
          <w:color w:val="auto"/>
        </w:rPr>
      </w:pPr>
    </w:p>
    <w:p w14:paraId="7FE5A759" w14:textId="77777777" w:rsidR="00755274" w:rsidRPr="00BC658A" w:rsidRDefault="00755274" w:rsidP="00755274">
      <w:pPr>
        <w:rPr>
          <w:color w:val="auto"/>
        </w:rPr>
      </w:pPr>
      <w:r w:rsidRPr="00BC658A">
        <w:rPr>
          <w:color w:val="auto"/>
        </w:rPr>
        <w:t>Nedenfor defineres de fire ovenstående virksomhedstyper med udgangspunkt i Budgetvejledningen.</w:t>
      </w:r>
    </w:p>
    <w:p w14:paraId="2851EDAE" w14:textId="77777777" w:rsidR="00755274" w:rsidRPr="00BC658A" w:rsidRDefault="00755274" w:rsidP="00755274">
      <w:pPr>
        <w:rPr>
          <w:color w:val="auto"/>
        </w:rPr>
      </w:pPr>
      <w:r w:rsidRPr="00BC658A">
        <w:rPr>
          <w:color w:val="auto"/>
        </w:rPr>
        <w:t xml:space="preserve"> </w:t>
      </w:r>
    </w:p>
    <w:p w14:paraId="6A17F8DC" w14:textId="77777777" w:rsidR="00755274" w:rsidRPr="00BC658A" w:rsidRDefault="00755274" w:rsidP="00755274">
      <w:pPr>
        <w:rPr>
          <w:color w:val="auto"/>
        </w:rPr>
      </w:pPr>
      <w:r>
        <w:rPr>
          <w:color w:val="auto"/>
          <w:highlight w:val="lightGray"/>
        </w:rPr>
        <w:t>[</w:t>
      </w:r>
      <w:r w:rsidRPr="00A86399">
        <w:rPr>
          <w:color w:val="auto"/>
          <w:highlight w:val="lightGray"/>
        </w:rPr>
        <w:t xml:space="preserve">Definitionerne suppleres i 2020 af praksisorienterede vejledninger på </w:t>
      </w:r>
      <w:proofErr w:type="spellStart"/>
      <w:r w:rsidRPr="00A86399">
        <w:rPr>
          <w:color w:val="auto"/>
          <w:highlight w:val="lightGray"/>
        </w:rPr>
        <w:t>UFM’s</w:t>
      </w:r>
      <w:proofErr w:type="spellEnd"/>
      <w:r w:rsidRPr="00A86399">
        <w:rPr>
          <w:color w:val="auto"/>
          <w:highlight w:val="lightGray"/>
        </w:rPr>
        <w:t xml:space="preserve"> hjemmeside</w:t>
      </w:r>
      <w:r>
        <w:rPr>
          <w:color w:val="auto"/>
          <w:highlight w:val="lightGray"/>
        </w:rPr>
        <w:t>]</w:t>
      </w:r>
      <w:r w:rsidRPr="00A86399">
        <w:rPr>
          <w:color w:val="auto"/>
          <w:highlight w:val="lightGray"/>
        </w:rPr>
        <w:t>.</w:t>
      </w:r>
    </w:p>
    <w:p w14:paraId="34B30928" w14:textId="77777777" w:rsidR="00755274" w:rsidRPr="00BC658A" w:rsidRDefault="00755274" w:rsidP="00755274">
      <w:pPr>
        <w:rPr>
          <w:color w:val="auto"/>
        </w:rPr>
      </w:pPr>
    </w:p>
    <w:p w14:paraId="53731953" w14:textId="77777777" w:rsidR="00755274" w:rsidRPr="005D24B3" w:rsidRDefault="00755274" w:rsidP="00755274">
      <w:pPr>
        <w:rPr>
          <w:i/>
          <w:color w:val="auto"/>
        </w:rPr>
      </w:pPr>
      <w:r w:rsidRPr="005D24B3">
        <w:rPr>
          <w:i/>
          <w:color w:val="auto"/>
        </w:rPr>
        <w:t>Almindelig virksomhed</w:t>
      </w:r>
    </w:p>
    <w:p w14:paraId="019F5E2C" w14:textId="77777777" w:rsidR="00755274" w:rsidRPr="00BC658A" w:rsidRDefault="00755274" w:rsidP="00755274">
      <w:pPr>
        <w:rPr>
          <w:color w:val="auto"/>
        </w:rPr>
      </w:pPr>
      <w:r w:rsidRPr="00BC658A">
        <w:rPr>
          <w:color w:val="auto"/>
        </w:rPr>
        <w:t xml:space="preserve">Institutionslovgivningen for de videregående uddannelser definerer institutionernes formål, og dermed grænser for de aktiviteter som institutionerne kan oppebære indtægter og omkostninger til. Foruden institutionernes kerneydelser (fx forskning og uddannelse) indebærer dette bygninger og fysiske rammer, administration, ledelse mv.  Den almindelige virksomhed udgøres væsentligst af den aktivitet, der finansieres af driftstilskud fra Styrelsen for Institutioner og Uddannelsesstøtte hhv. bevilling. Den almindelige virksomhed kan i mindre omfang finansieres af øvrige indtægter, som opnås i forbindelse med udførelsen af kerneydelserne. </w:t>
      </w:r>
    </w:p>
    <w:p w14:paraId="59EC695E" w14:textId="77777777" w:rsidR="00755274" w:rsidRPr="00BC658A" w:rsidRDefault="00755274" w:rsidP="00755274">
      <w:pPr>
        <w:rPr>
          <w:color w:val="auto"/>
        </w:rPr>
      </w:pPr>
    </w:p>
    <w:p w14:paraId="5D931B82" w14:textId="77777777" w:rsidR="00755274" w:rsidRPr="00BC658A" w:rsidRDefault="00755274" w:rsidP="00755274">
      <w:pPr>
        <w:rPr>
          <w:color w:val="auto"/>
        </w:rPr>
      </w:pPr>
      <w:r w:rsidRPr="00BC658A">
        <w:rPr>
          <w:color w:val="auto"/>
        </w:rPr>
        <w:t>Almindelig virksomhed kan således bl.a. omfatte følgende indtægter og omkostninger (listen er ikke udtømmende):</w:t>
      </w:r>
    </w:p>
    <w:p w14:paraId="6F931FCB" w14:textId="77777777" w:rsidR="00755274" w:rsidRPr="00BC658A" w:rsidRDefault="00755274" w:rsidP="00755274">
      <w:pPr>
        <w:rPr>
          <w:color w:val="auto"/>
        </w:rPr>
      </w:pPr>
    </w:p>
    <w:p w14:paraId="7A379937" w14:textId="77777777" w:rsidR="00755274" w:rsidRPr="00BC658A" w:rsidRDefault="00755274" w:rsidP="00755274">
      <w:pPr>
        <w:pStyle w:val="Opstilling-punkttegn"/>
        <w:rPr>
          <w:color w:val="auto"/>
        </w:rPr>
      </w:pPr>
      <w:r w:rsidRPr="00BC658A">
        <w:rPr>
          <w:color w:val="auto"/>
        </w:rPr>
        <w:t>Driftstilskud fra Styrelsen for Institutioner og Uddannelsesstøtte, herunder aktivitetsafhængige tilskud, resultatafhængige tilskud, samt ikke-aktivitetsafhængige tilskud (hhv. indtægtsføring af bevilling for statsinstitutioner)</w:t>
      </w:r>
    </w:p>
    <w:p w14:paraId="41FDD787" w14:textId="77777777" w:rsidR="00755274" w:rsidRPr="00BC658A" w:rsidRDefault="00755274" w:rsidP="00755274">
      <w:pPr>
        <w:pStyle w:val="Opstilling-punkttegn"/>
        <w:rPr>
          <w:color w:val="auto"/>
          <w:lang w:eastAsia="da-DK"/>
        </w:rPr>
      </w:pPr>
      <w:r w:rsidRPr="00BC658A">
        <w:rPr>
          <w:color w:val="auto"/>
          <w:lang w:eastAsia="da-DK"/>
        </w:rPr>
        <w:lastRenderedPageBreak/>
        <w:t>Bibliotek, biblioteksgebyrer</w:t>
      </w:r>
    </w:p>
    <w:p w14:paraId="02B14B1F" w14:textId="191650AD" w:rsidR="00755274" w:rsidRPr="00755274" w:rsidRDefault="00755274" w:rsidP="00755274">
      <w:pPr>
        <w:pStyle w:val="Opstilling-punkttegn"/>
        <w:rPr>
          <w:color w:val="auto"/>
          <w:lang w:eastAsia="da-DK"/>
        </w:rPr>
      </w:pPr>
      <w:r w:rsidRPr="00A86399">
        <w:rPr>
          <w:color w:val="auto"/>
          <w:lang w:eastAsia="da-DK"/>
        </w:rPr>
        <w:t xml:space="preserve">Deltagerbetaling i forbindelse med karrieredage mv. </w:t>
      </w:r>
    </w:p>
    <w:p w14:paraId="5F04928F" w14:textId="77777777" w:rsidR="00755274" w:rsidRPr="00BC658A" w:rsidRDefault="00755274" w:rsidP="00755274">
      <w:pPr>
        <w:pStyle w:val="Opstilling-punkttegn"/>
        <w:rPr>
          <w:color w:val="auto"/>
          <w:lang w:eastAsia="da-DK"/>
        </w:rPr>
      </w:pPr>
      <w:r w:rsidRPr="00BC658A">
        <w:rPr>
          <w:color w:val="auto"/>
          <w:lang w:eastAsia="da-DK"/>
        </w:rPr>
        <w:t>Deltagerbetaling åben uddannelse / eftervidere uddannelse (ikke indtægtsdækket virksomhed)</w:t>
      </w:r>
    </w:p>
    <w:p w14:paraId="4D776D5D" w14:textId="77777777" w:rsidR="00755274" w:rsidRPr="00BC658A" w:rsidRDefault="00755274" w:rsidP="00755274">
      <w:pPr>
        <w:pStyle w:val="Opstilling-punkttegn"/>
        <w:rPr>
          <w:color w:val="auto"/>
          <w:lang w:eastAsia="da-DK"/>
        </w:rPr>
      </w:pPr>
      <w:r w:rsidRPr="00BC658A">
        <w:rPr>
          <w:color w:val="auto"/>
          <w:lang w:eastAsia="da-DK"/>
        </w:rPr>
        <w:t>Donationer</w:t>
      </w:r>
    </w:p>
    <w:p w14:paraId="79AB5476" w14:textId="77777777" w:rsidR="00755274" w:rsidRPr="00BC658A" w:rsidRDefault="00755274" w:rsidP="00755274">
      <w:pPr>
        <w:pStyle w:val="Opstilling-punkttegn"/>
        <w:rPr>
          <w:color w:val="auto"/>
          <w:lang w:eastAsia="da-DK"/>
        </w:rPr>
      </w:pPr>
      <w:r w:rsidRPr="00BC658A">
        <w:rPr>
          <w:color w:val="auto"/>
          <w:lang w:eastAsia="da-DK"/>
        </w:rPr>
        <w:t>Entreindtægter (museer mv.)</w:t>
      </w:r>
    </w:p>
    <w:p w14:paraId="3CD41E3D" w14:textId="77777777" w:rsidR="00755274" w:rsidRPr="00BC658A" w:rsidRDefault="00755274" w:rsidP="00755274">
      <w:pPr>
        <w:pStyle w:val="Opstilling-punkttegn"/>
        <w:rPr>
          <w:color w:val="auto"/>
          <w:lang w:eastAsia="da-DK"/>
        </w:rPr>
      </w:pPr>
      <w:r w:rsidRPr="00BC658A">
        <w:rPr>
          <w:color w:val="auto"/>
          <w:lang w:eastAsia="da-DK"/>
        </w:rPr>
        <w:t>Finansielle indtægter</w:t>
      </w:r>
    </w:p>
    <w:p w14:paraId="3098EF3D" w14:textId="77777777" w:rsidR="00755274" w:rsidRPr="00BC658A" w:rsidRDefault="00755274" w:rsidP="00755274">
      <w:pPr>
        <w:pStyle w:val="Opstilling-punkttegn"/>
        <w:rPr>
          <w:color w:val="auto"/>
          <w:lang w:eastAsia="da-DK"/>
        </w:rPr>
      </w:pPr>
      <w:r w:rsidRPr="00BC658A">
        <w:rPr>
          <w:color w:val="auto"/>
          <w:lang w:eastAsia="da-DK"/>
        </w:rPr>
        <w:t>Gebyrer</w:t>
      </w:r>
    </w:p>
    <w:p w14:paraId="761ED245" w14:textId="77777777" w:rsidR="00755274" w:rsidRPr="00BC658A" w:rsidRDefault="00755274" w:rsidP="00755274">
      <w:pPr>
        <w:pStyle w:val="Opstilling-punkttegn"/>
        <w:rPr>
          <w:color w:val="auto"/>
          <w:lang w:eastAsia="da-DK"/>
        </w:rPr>
      </w:pPr>
      <w:r w:rsidRPr="00BC658A">
        <w:rPr>
          <w:color w:val="auto"/>
          <w:lang w:eastAsia="da-DK"/>
        </w:rPr>
        <w:t>Husleje og boligindtægter</w:t>
      </w:r>
    </w:p>
    <w:p w14:paraId="17759C7A" w14:textId="77777777" w:rsidR="00755274" w:rsidRPr="00BC658A" w:rsidRDefault="00755274" w:rsidP="00755274">
      <w:pPr>
        <w:pStyle w:val="Opstilling-punkttegn"/>
        <w:rPr>
          <w:color w:val="auto"/>
          <w:lang w:eastAsia="da-DK"/>
        </w:rPr>
      </w:pPr>
      <w:r w:rsidRPr="00BC658A">
        <w:rPr>
          <w:color w:val="auto"/>
          <w:lang w:eastAsia="da-DK"/>
        </w:rPr>
        <w:t>Kantinesalg</w:t>
      </w:r>
    </w:p>
    <w:p w14:paraId="1600AE18" w14:textId="77777777" w:rsidR="00755274" w:rsidRPr="00A86399" w:rsidRDefault="00755274" w:rsidP="00755274">
      <w:pPr>
        <w:pStyle w:val="Opstilling-punkttegn"/>
        <w:rPr>
          <w:color w:val="auto"/>
          <w:lang w:eastAsia="da-DK"/>
        </w:rPr>
      </w:pPr>
      <w:r w:rsidRPr="00A86399">
        <w:rPr>
          <w:color w:val="auto"/>
          <w:lang w:eastAsia="da-DK"/>
        </w:rPr>
        <w:t>Konferenceindtægter, seminarer, workshops, temadage, offentlige foredrag</w:t>
      </w:r>
    </w:p>
    <w:p w14:paraId="332383EB" w14:textId="77777777" w:rsidR="00755274" w:rsidRPr="00BC658A" w:rsidRDefault="00755274" w:rsidP="00755274">
      <w:pPr>
        <w:pStyle w:val="Opstilling-punkttegn"/>
        <w:rPr>
          <w:color w:val="auto"/>
          <w:lang w:eastAsia="da-DK"/>
        </w:rPr>
      </w:pPr>
      <w:r w:rsidRPr="00BC658A">
        <w:rPr>
          <w:color w:val="auto"/>
          <w:lang w:eastAsia="da-DK"/>
        </w:rPr>
        <w:t>Myndighedsbetjening</w:t>
      </w:r>
    </w:p>
    <w:p w14:paraId="7488A6DC" w14:textId="77777777" w:rsidR="00755274" w:rsidRPr="00BC658A" w:rsidRDefault="00755274" w:rsidP="00755274">
      <w:pPr>
        <w:pStyle w:val="Opstilling-punkttegn"/>
        <w:rPr>
          <w:color w:val="auto"/>
          <w:lang w:eastAsia="da-DK"/>
        </w:rPr>
      </w:pPr>
      <w:r w:rsidRPr="00BC658A">
        <w:rPr>
          <w:color w:val="auto"/>
          <w:lang w:eastAsia="da-DK"/>
        </w:rPr>
        <w:t>Notesalg og kompendier, fotokopier</w:t>
      </w:r>
    </w:p>
    <w:p w14:paraId="3976339E" w14:textId="77777777" w:rsidR="00755274" w:rsidRPr="00BC658A" w:rsidRDefault="00755274" w:rsidP="00755274">
      <w:pPr>
        <w:pStyle w:val="Opstilling-punkttegn"/>
        <w:rPr>
          <w:color w:val="auto"/>
          <w:lang w:eastAsia="da-DK"/>
        </w:rPr>
      </w:pPr>
      <w:r w:rsidRPr="00BC658A">
        <w:rPr>
          <w:color w:val="auto"/>
          <w:lang w:eastAsia="da-DK"/>
        </w:rPr>
        <w:t>Patentindtægter, indtægter fra licenser mv., royalties</w:t>
      </w:r>
    </w:p>
    <w:p w14:paraId="06A70B3F" w14:textId="77777777" w:rsidR="00755274" w:rsidRPr="00BC658A" w:rsidRDefault="00755274" w:rsidP="00755274">
      <w:pPr>
        <w:pStyle w:val="Opstilling-punkttegn"/>
        <w:rPr>
          <w:color w:val="auto"/>
          <w:lang w:eastAsia="da-DK"/>
        </w:rPr>
      </w:pPr>
      <w:r w:rsidRPr="00BC658A">
        <w:rPr>
          <w:color w:val="auto"/>
          <w:lang w:eastAsia="da-DK"/>
        </w:rPr>
        <w:t>Salg af varer, tjenesteydelser (øvrig salg) (ikke indtægtsdækket virksomhed)</w:t>
      </w:r>
    </w:p>
    <w:p w14:paraId="51671101" w14:textId="77777777" w:rsidR="00755274" w:rsidRPr="00BC658A" w:rsidRDefault="00755274" w:rsidP="00755274">
      <w:pPr>
        <w:pStyle w:val="Opstilling-punkttegn"/>
        <w:rPr>
          <w:color w:val="auto"/>
          <w:lang w:eastAsia="da-DK"/>
        </w:rPr>
      </w:pPr>
      <w:r w:rsidRPr="00BC658A">
        <w:rPr>
          <w:color w:val="auto"/>
          <w:lang w:eastAsia="da-DK"/>
        </w:rPr>
        <w:t>Sponsorater</w:t>
      </w:r>
    </w:p>
    <w:p w14:paraId="7A043823" w14:textId="77777777" w:rsidR="00755274" w:rsidRPr="00BC658A" w:rsidRDefault="00755274" w:rsidP="00755274">
      <w:pPr>
        <w:pStyle w:val="Opstilling-punkttegn"/>
        <w:rPr>
          <w:color w:val="auto"/>
          <w:lang w:eastAsia="da-DK"/>
        </w:rPr>
      </w:pPr>
      <w:r w:rsidRPr="00BC658A">
        <w:rPr>
          <w:color w:val="auto"/>
          <w:lang w:eastAsia="da-DK"/>
        </w:rPr>
        <w:t>Studieture, feltekskursioner</w:t>
      </w:r>
    </w:p>
    <w:p w14:paraId="0EEAA2AF" w14:textId="77777777" w:rsidR="00755274" w:rsidRDefault="00755274" w:rsidP="00755274">
      <w:pPr>
        <w:pStyle w:val="Overskrift4"/>
        <w:rPr>
          <w:color w:val="auto"/>
        </w:rPr>
      </w:pPr>
    </w:p>
    <w:p w14:paraId="5A6FD2BD" w14:textId="77777777" w:rsidR="00755274" w:rsidRPr="00BC658A" w:rsidRDefault="00755274" w:rsidP="00755274">
      <w:pPr>
        <w:pStyle w:val="Overskrift4"/>
        <w:rPr>
          <w:color w:val="auto"/>
        </w:rPr>
      </w:pPr>
      <w:r w:rsidRPr="00BC658A">
        <w:rPr>
          <w:color w:val="auto"/>
        </w:rPr>
        <w:t>Indtægtsdækket virksomhed</w:t>
      </w:r>
    </w:p>
    <w:p w14:paraId="0EF47B39" w14:textId="77777777" w:rsidR="00755274" w:rsidRPr="00BC658A" w:rsidRDefault="00755274" w:rsidP="00755274">
      <w:pPr>
        <w:tabs>
          <w:tab w:val="clear" w:pos="454"/>
        </w:tabs>
        <w:autoSpaceDE w:val="0"/>
        <w:autoSpaceDN w:val="0"/>
        <w:adjustRightInd w:val="0"/>
        <w:rPr>
          <w:color w:val="auto"/>
        </w:rPr>
      </w:pPr>
      <w:r w:rsidRPr="00BC658A">
        <w:rPr>
          <w:color w:val="auto"/>
        </w:rPr>
        <w:t xml:space="preserve">Indtægtsdækket virksomhed er kommerciel aktivitet, hvor en ekstern part (studerende, virksomheder, offentlige myndigheder mv.) rekvirerer varer eller tjenesteydelser fra institutionen.  </w:t>
      </w:r>
    </w:p>
    <w:p w14:paraId="5427F606" w14:textId="77777777" w:rsidR="00755274" w:rsidRPr="00BC658A" w:rsidRDefault="00755274" w:rsidP="00755274">
      <w:pPr>
        <w:tabs>
          <w:tab w:val="clear" w:pos="454"/>
        </w:tabs>
        <w:autoSpaceDE w:val="0"/>
        <w:autoSpaceDN w:val="0"/>
        <w:adjustRightInd w:val="0"/>
        <w:rPr>
          <w:color w:val="auto"/>
        </w:rPr>
      </w:pPr>
    </w:p>
    <w:p w14:paraId="1C16267D" w14:textId="77777777" w:rsidR="00755274" w:rsidRPr="00BC658A" w:rsidRDefault="00755274" w:rsidP="00755274">
      <w:pPr>
        <w:tabs>
          <w:tab w:val="clear" w:pos="454"/>
        </w:tabs>
        <w:autoSpaceDE w:val="0"/>
        <w:autoSpaceDN w:val="0"/>
        <w:adjustRightInd w:val="0"/>
        <w:rPr>
          <w:color w:val="auto"/>
        </w:rPr>
      </w:pPr>
      <w:r w:rsidRPr="00BC658A">
        <w:rPr>
          <w:color w:val="auto"/>
        </w:rPr>
        <w:t>Reglerne for indtægtsdækket virksomhed fremgår af Finansministeriets Budgetvejledning afsnit 2.6.8. Det gælder, at:</w:t>
      </w:r>
    </w:p>
    <w:p w14:paraId="18CF48E1" w14:textId="77777777" w:rsidR="00755274" w:rsidRPr="00BC658A" w:rsidRDefault="00755274" w:rsidP="00755274">
      <w:pPr>
        <w:pStyle w:val="Listeafsnit"/>
        <w:numPr>
          <w:ilvl w:val="0"/>
          <w:numId w:val="3"/>
        </w:numPr>
        <w:tabs>
          <w:tab w:val="clear" w:pos="454"/>
        </w:tabs>
        <w:autoSpaceDE w:val="0"/>
        <w:autoSpaceDN w:val="0"/>
        <w:adjustRightInd w:val="0"/>
        <w:spacing w:before="120"/>
        <w:ind w:left="142" w:hanging="142"/>
        <w:contextualSpacing w:val="0"/>
        <w:rPr>
          <w:color w:val="auto"/>
        </w:rPr>
      </w:pPr>
      <w:r w:rsidRPr="00BC658A">
        <w:rPr>
          <w:color w:val="auto"/>
        </w:rPr>
        <w:t>Der må ikke for kredsen af aftagere bestå en pligt til at aftage de pågældende varer eller tjenesteydelser.</w:t>
      </w:r>
    </w:p>
    <w:p w14:paraId="632B8D71" w14:textId="77777777" w:rsidR="00755274" w:rsidRPr="00BC658A" w:rsidRDefault="00755274" w:rsidP="00755274">
      <w:pPr>
        <w:pStyle w:val="Listeafsnit"/>
        <w:numPr>
          <w:ilvl w:val="0"/>
          <w:numId w:val="3"/>
        </w:numPr>
        <w:tabs>
          <w:tab w:val="clear" w:pos="454"/>
        </w:tabs>
        <w:autoSpaceDE w:val="0"/>
        <w:autoSpaceDN w:val="0"/>
        <w:adjustRightInd w:val="0"/>
        <w:spacing w:before="120"/>
        <w:ind w:left="142" w:hanging="142"/>
        <w:contextualSpacing w:val="0"/>
        <w:rPr>
          <w:color w:val="auto"/>
        </w:rPr>
      </w:pPr>
      <w:r w:rsidRPr="00BC658A">
        <w:rPr>
          <w:color w:val="auto"/>
        </w:rPr>
        <w:t>Institutionen skal kunne adskille den produktion af varer eller tjenesteydelser, der søges udført med indtægtsdækning, fra institutionens øvrige opgaver.</w:t>
      </w:r>
    </w:p>
    <w:p w14:paraId="18DE209D" w14:textId="77777777" w:rsidR="00755274" w:rsidRPr="00BC658A" w:rsidRDefault="00755274" w:rsidP="00755274">
      <w:pPr>
        <w:pStyle w:val="Listeafsnit"/>
        <w:numPr>
          <w:ilvl w:val="0"/>
          <w:numId w:val="3"/>
        </w:numPr>
        <w:tabs>
          <w:tab w:val="clear" w:pos="454"/>
        </w:tabs>
        <w:autoSpaceDE w:val="0"/>
        <w:autoSpaceDN w:val="0"/>
        <w:adjustRightInd w:val="0"/>
        <w:spacing w:before="120"/>
        <w:ind w:left="142" w:hanging="142"/>
        <w:contextualSpacing w:val="0"/>
        <w:rPr>
          <w:color w:val="auto"/>
        </w:rPr>
      </w:pPr>
      <w:r w:rsidRPr="00BC658A">
        <w:rPr>
          <w:color w:val="auto"/>
        </w:rPr>
        <w:t>De indtægtsdækkede aktivitetsområder skal være naturlige udløbere af institutionens almindelige virksomhed.</w:t>
      </w:r>
    </w:p>
    <w:p w14:paraId="1C95E47B" w14:textId="77777777" w:rsidR="00755274" w:rsidRPr="00BC658A" w:rsidRDefault="00755274" w:rsidP="00755274">
      <w:pPr>
        <w:tabs>
          <w:tab w:val="clear" w:pos="454"/>
        </w:tabs>
        <w:autoSpaceDE w:val="0"/>
        <w:autoSpaceDN w:val="0"/>
        <w:adjustRightInd w:val="0"/>
        <w:rPr>
          <w:color w:val="auto"/>
        </w:rPr>
      </w:pPr>
    </w:p>
    <w:p w14:paraId="3D6AF410" w14:textId="77777777" w:rsidR="00755274" w:rsidRPr="00BC658A" w:rsidRDefault="00755274" w:rsidP="00755274">
      <w:pPr>
        <w:rPr>
          <w:color w:val="auto"/>
        </w:rPr>
      </w:pPr>
      <w:r w:rsidRPr="00BC658A">
        <w:rPr>
          <w:i/>
          <w:color w:val="auto"/>
          <w:highlight w:val="lightGray"/>
        </w:rPr>
        <w:t>[SIU vil i samarbejde med MODST uddybe begrebet IDV, samt reglerne herom.]</w:t>
      </w:r>
      <w:r w:rsidRPr="00BC658A">
        <w:rPr>
          <w:i/>
          <w:color w:val="auto"/>
        </w:rPr>
        <w:t xml:space="preserve"> </w:t>
      </w:r>
    </w:p>
    <w:p w14:paraId="4B21D830" w14:textId="77777777" w:rsidR="00755274" w:rsidRPr="00BC658A" w:rsidRDefault="00755274" w:rsidP="00755274">
      <w:pPr>
        <w:pStyle w:val="Overskrift4"/>
        <w:rPr>
          <w:color w:val="auto"/>
        </w:rPr>
      </w:pPr>
      <w:r w:rsidRPr="00BC658A">
        <w:rPr>
          <w:color w:val="auto"/>
        </w:rPr>
        <w:t>Tilskudsfinansierede aktiviteter</w:t>
      </w:r>
    </w:p>
    <w:p w14:paraId="6C6F8320" w14:textId="77777777" w:rsidR="00755274" w:rsidRPr="00BC658A" w:rsidRDefault="00755274" w:rsidP="00755274">
      <w:pPr>
        <w:tabs>
          <w:tab w:val="clear" w:pos="454"/>
        </w:tabs>
        <w:autoSpaceDE w:val="0"/>
        <w:autoSpaceDN w:val="0"/>
        <w:adjustRightInd w:val="0"/>
        <w:rPr>
          <w:color w:val="auto"/>
        </w:rPr>
      </w:pPr>
      <w:r w:rsidRPr="00BC658A">
        <w:rPr>
          <w:color w:val="auto"/>
        </w:rPr>
        <w:t xml:space="preserve">Tilskudsfinansierede aktiviteter er ikke-kommercielle aktiviteter, der er naturlige udløbere af den ordinære virksomhed og finansieres af indtægter. Som indtægter kan optages private gaver eller tilskud, indtægter i forbindelse med samarbejdsaftaler, offentlige fondsmidler og programmidler mv. </w:t>
      </w:r>
    </w:p>
    <w:p w14:paraId="0D064CBA" w14:textId="77777777" w:rsidR="00755274" w:rsidRPr="00BC658A" w:rsidRDefault="00755274" w:rsidP="00755274">
      <w:pPr>
        <w:tabs>
          <w:tab w:val="clear" w:pos="454"/>
        </w:tabs>
        <w:autoSpaceDE w:val="0"/>
        <w:autoSpaceDN w:val="0"/>
        <w:adjustRightInd w:val="0"/>
        <w:rPr>
          <w:color w:val="auto"/>
        </w:rPr>
      </w:pPr>
    </w:p>
    <w:p w14:paraId="45BA36D7" w14:textId="77777777" w:rsidR="00755274" w:rsidRPr="00BC658A" w:rsidRDefault="00755274" w:rsidP="00755274">
      <w:pPr>
        <w:tabs>
          <w:tab w:val="clear" w:pos="454"/>
        </w:tabs>
        <w:autoSpaceDE w:val="0"/>
        <w:autoSpaceDN w:val="0"/>
        <w:adjustRightInd w:val="0"/>
        <w:rPr>
          <w:color w:val="auto"/>
        </w:rPr>
      </w:pPr>
      <w:r w:rsidRPr="00BC658A">
        <w:rPr>
          <w:color w:val="auto"/>
        </w:rPr>
        <w:t>Reglerne for tilskudsfinansierede aktiviteter fremgår af Finansministeriets Budgetvejledning afsnit 2.6.9.</w:t>
      </w:r>
    </w:p>
    <w:p w14:paraId="13D6A396" w14:textId="77777777" w:rsidR="00755274" w:rsidRPr="00BC658A" w:rsidRDefault="00755274" w:rsidP="00755274">
      <w:pPr>
        <w:tabs>
          <w:tab w:val="clear" w:pos="454"/>
        </w:tabs>
        <w:autoSpaceDE w:val="0"/>
        <w:autoSpaceDN w:val="0"/>
        <w:adjustRightInd w:val="0"/>
        <w:rPr>
          <w:color w:val="auto"/>
        </w:rPr>
      </w:pPr>
    </w:p>
    <w:p w14:paraId="2C4E5DED" w14:textId="77777777" w:rsidR="00755274" w:rsidRPr="00BC658A" w:rsidRDefault="00755274" w:rsidP="00755274">
      <w:pPr>
        <w:tabs>
          <w:tab w:val="clear" w:pos="454"/>
        </w:tabs>
        <w:autoSpaceDE w:val="0"/>
        <w:autoSpaceDN w:val="0"/>
        <w:adjustRightInd w:val="0"/>
        <w:rPr>
          <w:color w:val="auto"/>
        </w:rPr>
      </w:pPr>
      <w:r w:rsidRPr="00BC658A">
        <w:rPr>
          <w:i/>
          <w:color w:val="auto"/>
          <w:highlight w:val="lightGray"/>
        </w:rPr>
        <w:t>[SIU vil i samarbejde med MODST uddybe begrebet tilskudsfinansierede aktiviteter, samt reglerne herom.]</w:t>
      </w:r>
      <w:r w:rsidRPr="00BC658A">
        <w:rPr>
          <w:i/>
          <w:color w:val="auto"/>
        </w:rPr>
        <w:t xml:space="preserve"> </w:t>
      </w:r>
    </w:p>
    <w:p w14:paraId="55761BEC" w14:textId="77777777" w:rsidR="00755274" w:rsidRPr="00BC658A" w:rsidRDefault="00755274" w:rsidP="00755274">
      <w:pPr>
        <w:pStyle w:val="Overskrift4"/>
        <w:rPr>
          <w:color w:val="auto"/>
        </w:rPr>
      </w:pPr>
      <w:r w:rsidRPr="00BC658A">
        <w:rPr>
          <w:color w:val="auto"/>
        </w:rPr>
        <w:t>Tilskudsfinansierede forskningsaktiviteter</w:t>
      </w:r>
    </w:p>
    <w:p w14:paraId="2F1A09DF" w14:textId="77777777" w:rsidR="00755274" w:rsidRPr="00BC658A" w:rsidRDefault="00755274" w:rsidP="00755274">
      <w:pPr>
        <w:tabs>
          <w:tab w:val="clear" w:pos="454"/>
        </w:tabs>
        <w:autoSpaceDE w:val="0"/>
        <w:autoSpaceDN w:val="0"/>
        <w:adjustRightInd w:val="0"/>
        <w:rPr>
          <w:color w:val="auto"/>
        </w:rPr>
      </w:pPr>
      <w:r w:rsidRPr="00BC658A">
        <w:rPr>
          <w:color w:val="auto"/>
        </w:rPr>
        <w:t xml:space="preserve">Tilskudsfinansierede forskningsaktiviteter er ikke-kommercielle forsknings- og udviklingsaktiviteter, der er naturlige udløbere af den ordinære virksomhed og finansieres af indtægter. Som indtægter kan optages private gaver eller tilskud, indtægter i forbindelse med samarbejdsaftaler, offentlige fondsmidler og programmidler mv. til forskning. </w:t>
      </w:r>
    </w:p>
    <w:p w14:paraId="14F98163" w14:textId="77777777" w:rsidR="00755274" w:rsidRPr="00BC658A" w:rsidRDefault="00755274" w:rsidP="00755274">
      <w:pPr>
        <w:tabs>
          <w:tab w:val="clear" w:pos="454"/>
        </w:tabs>
        <w:autoSpaceDE w:val="0"/>
        <w:autoSpaceDN w:val="0"/>
        <w:adjustRightInd w:val="0"/>
        <w:rPr>
          <w:color w:val="auto"/>
        </w:rPr>
      </w:pPr>
    </w:p>
    <w:p w14:paraId="42E5707B" w14:textId="77777777" w:rsidR="00755274" w:rsidRPr="00BC658A" w:rsidRDefault="00755274" w:rsidP="00755274">
      <w:pPr>
        <w:tabs>
          <w:tab w:val="clear" w:pos="454"/>
        </w:tabs>
        <w:autoSpaceDE w:val="0"/>
        <w:autoSpaceDN w:val="0"/>
        <w:adjustRightInd w:val="0"/>
        <w:rPr>
          <w:color w:val="auto"/>
        </w:rPr>
      </w:pPr>
      <w:r w:rsidRPr="00BC658A">
        <w:rPr>
          <w:color w:val="auto"/>
        </w:rPr>
        <w:t>Reglerne for tilskudsfinansierede aktiviteter fremgår af Finansministeriets Budgetvejledning afsnit 2.6.10.</w:t>
      </w:r>
    </w:p>
    <w:p w14:paraId="7718FD64" w14:textId="77777777" w:rsidR="00755274" w:rsidRPr="00BC658A" w:rsidRDefault="00755274" w:rsidP="00755274">
      <w:pPr>
        <w:tabs>
          <w:tab w:val="clear" w:pos="454"/>
        </w:tabs>
        <w:autoSpaceDE w:val="0"/>
        <w:autoSpaceDN w:val="0"/>
        <w:adjustRightInd w:val="0"/>
        <w:rPr>
          <w:color w:val="auto"/>
        </w:rPr>
      </w:pPr>
    </w:p>
    <w:p w14:paraId="14BDD5F3" w14:textId="77777777" w:rsidR="00755274" w:rsidRPr="00BC658A" w:rsidRDefault="00755274" w:rsidP="00755274">
      <w:pPr>
        <w:tabs>
          <w:tab w:val="clear" w:pos="454"/>
        </w:tabs>
        <w:autoSpaceDE w:val="0"/>
        <w:autoSpaceDN w:val="0"/>
        <w:adjustRightInd w:val="0"/>
        <w:rPr>
          <w:color w:val="auto"/>
        </w:rPr>
      </w:pPr>
      <w:r w:rsidRPr="00BC658A">
        <w:rPr>
          <w:i/>
          <w:color w:val="auto"/>
          <w:highlight w:val="lightGray"/>
        </w:rPr>
        <w:t>[SIU vil i samarbejde med MODST uddybe begrebet tilskudsfinansierede forskningsaktiviteter, samt reglerne herom.]</w:t>
      </w:r>
      <w:r w:rsidRPr="00BC658A">
        <w:rPr>
          <w:i/>
          <w:color w:val="auto"/>
        </w:rPr>
        <w:t xml:space="preserve"> </w:t>
      </w:r>
    </w:p>
    <w:p w14:paraId="51C57F0D" w14:textId="77777777" w:rsidR="00755274" w:rsidRPr="00BC658A" w:rsidRDefault="00755274" w:rsidP="00755274">
      <w:pPr>
        <w:pStyle w:val="Overskrift4"/>
        <w:rPr>
          <w:color w:val="auto"/>
        </w:rPr>
      </w:pPr>
      <w:r w:rsidRPr="00BC658A">
        <w:rPr>
          <w:color w:val="auto"/>
        </w:rPr>
        <w:t>Samarbejder, der omfatter flere virksomhedstyper</w:t>
      </w:r>
    </w:p>
    <w:p w14:paraId="20A80345" w14:textId="77777777" w:rsidR="00755274" w:rsidRPr="00BC658A" w:rsidRDefault="00755274" w:rsidP="00755274">
      <w:pPr>
        <w:rPr>
          <w:color w:val="auto"/>
        </w:rPr>
      </w:pPr>
      <w:r w:rsidRPr="00BC658A">
        <w:rPr>
          <w:color w:val="auto"/>
        </w:rPr>
        <w:t>Et samarbejde mellem institutionen og en ekstern part kan indeholde elementer af f.eks. både indtægtsdækket virksomhed og tilskudsfinansierede forskningsaktiviteter.  I så fald skal de enkelte aktiviteter behandles efter de respektive retningslinjer for de forskellige typer virksomhed. Eksempelvis vil et samarbejde med en ekstern part, som indeholder både forskning og udvikling samt rådgivning, skulle behandles efter regler om hhv. tilskudsfinansierede forskningsaktiviteter og indtægtsdækket virksomhed. Det vil være det konkrete grundlag for samarbejdet (projektbeskrivelse, ydelsesbeskrivelse, samarbejdsaftale, budget mv.), der lægges til grund for denne vurdering.</w:t>
      </w:r>
    </w:p>
    <w:p w14:paraId="689236F8" w14:textId="77777777" w:rsidR="00755274" w:rsidRPr="00BC658A" w:rsidRDefault="00755274" w:rsidP="00755274">
      <w:pPr>
        <w:tabs>
          <w:tab w:val="clear" w:pos="454"/>
        </w:tabs>
        <w:spacing w:after="160" w:line="259" w:lineRule="auto"/>
      </w:pPr>
    </w:p>
    <w:p w14:paraId="2E99E776" w14:textId="77777777" w:rsidR="00755274" w:rsidRPr="00755274" w:rsidRDefault="00755274" w:rsidP="00755274">
      <w:pPr>
        <w:pStyle w:val="Opstilling-punkttegn"/>
        <w:numPr>
          <w:ilvl w:val="0"/>
          <w:numId w:val="0"/>
        </w:numPr>
        <w:rPr>
          <w:color w:val="auto"/>
          <w:lang w:eastAsia="da-DK"/>
        </w:rPr>
      </w:pPr>
    </w:p>
    <w:p w14:paraId="115691AF" w14:textId="77777777" w:rsidR="00E87021" w:rsidRPr="00DA4302" w:rsidRDefault="00E87021" w:rsidP="0009059E">
      <w:pPr>
        <w:tabs>
          <w:tab w:val="clear" w:pos="454"/>
        </w:tabs>
        <w:autoSpaceDE w:val="0"/>
        <w:autoSpaceDN w:val="0"/>
        <w:adjustRightInd w:val="0"/>
        <w:rPr>
          <w:color w:val="auto"/>
        </w:rPr>
      </w:pPr>
    </w:p>
    <w:p w14:paraId="411F8F69" w14:textId="77777777" w:rsidR="0009059E" w:rsidRPr="00DA4302" w:rsidRDefault="0009059E" w:rsidP="0009059E">
      <w:pPr>
        <w:rPr>
          <w:color w:val="auto"/>
        </w:rPr>
      </w:pPr>
    </w:p>
    <w:p w14:paraId="72CD88C2" w14:textId="77777777" w:rsidR="002A0A4F" w:rsidRPr="00DA4302" w:rsidRDefault="002A0A4F" w:rsidP="00A87730">
      <w:pPr>
        <w:pStyle w:val="Overskrift1"/>
        <w:numPr>
          <w:ilvl w:val="0"/>
          <w:numId w:val="30"/>
        </w:numPr>
      </w:pPr>
      <w:bookmarkStart w:id="9" w:name="_Toc514319620"/>
      <w:bookmarkStart w:id="10" w:name="_Toc19280585"/>
      <w:r w:rsidRPr="00DA4302">
        <w:lastRenderedPageBreak/>
        <w:t>Sted</w:t>
      </w:r>
      <w:r w:rsidR="0096087F" w:rsidRPr="00DA4302">
        <w:t>dimension</w:t>
      </w:r>
      <w:bookmarkEnd w:id="9"/>
      <w:bookmarkEnd w:id="10"/>
    </w:p>
    <w:p w14:paraId="52045D9B" w14:textId="531A4BD2" w:rsidR="00AF30CF" w:rsidRDefault="0096087F" w:rsidP="00EE06AD">
      <w:pPr>
        <w:tabs>
          <w:tab w:val="clear" w:pos="454"/>
        </w:tabs>
        <w:rPr>
          <w:color w:val="auto"/>
        </w:rPr>
      </w:pPr>
      <w:r w:rsidRPr="00DA4302">
        <w:rPr>
          <w:color w:val="auto"/>
        </w:rPr>
        <w:t>Dimensionen ’Sted’ udgør en entydig henvisning til det organisatoriske budgetansvar.</w:t>
      </w:r>
      <w:r w:rsidR="001802F9" w:rsidRPr="00DA4302">
        <w:rPr>
          <w:color w:val="auto"/>
        </w:rPr>
        <w:t xml:space="preserve"> </w:t>
      </w:r>
      <w:r w:rsidR="0021099F">
        <w:rPr>
          <w:color w:val="auto"/>
        </w:rPr>
        <w:t xml:space="preserve">Det </w:t>
      </w:r>
      <w:r w:rsidR="003A5241">
        <w:rPr>
          <w:color w:val="auto"/>
        </w:rPr>
        <w:t xml:space="preserve">er obligatorisk, at institutionerne </w:t>
      </w:r>
      <w:r w:rsidR="0070531C">
        <w:rPr>
          <w:color w:val="auto"/>
        </w:rPr>
        <w:t xml:space="preserve">løbende </w:t>
      </w:r>
      <w:r w:rsidR="0028292A">
        <w:rPr>
          <w:color w:val="auto"/>
        </w:rPr>
        <w:t>registrerer</w:t>
      </w:r>
      <w:r w:rsidR="003A5241">
        <w:rPr>
          <w:color w:val="auto"/>
        </w:rPr>
        <w:t xml:space="preserve"> på dimensionen</w:t>
      </w:r>
      <w:r w:rsidR="0028292A">
        <w:rPr>
          <w:color w:val="auto"/>
        </w:rPr>
        <w:t>.</w:t>
      </w:r>
      <w:r w:rsidR="003A5241">
        <w:rPr>
          <w:color w:val="auto"/>
        </w:rPr>
        <w:t xml:space="preserve"> </w:t>
      </w:r>
      <w:r w:rsidR="0028292A">
        <w:rPr>
          <w:color w:val="auto"/>
        </w:rPr>
        <w:t>D</w:t>
      </w:r>
      <w:r w:rsidR="003A5241">
        <w:rPr>
          <w:color w:val="auto"/>
        </w:rPr>
        <w:t>imensionsværdierne fastsætter institutionen selv.</w:t>
      </w:r>
    </w:p>
    <w:p w14:paraId="0C87E924" w14:textId="77777777" w:rsidR="003A5241" w:rsidRDefault="003A5241" w:rsidP="00EE06AD">
      <w:pPr>
        <w:tabs>
          <w:tab w:val="clear" w:pos="454"/>
        </w:tabs>
        <w:rPr>
          <w:color w:val="auto"/>
        </w:rPr>
      </w:pPr>
    </w:p>
    <w:p w14:paraId="5507B7C9" w14:textId="19C514F2" w:rsidR="005E6745" w:rsidRDefault="003A5241" w:rsidP="00EE06AD">
      <w:pPr>
        <w:tabs>
          <w:tab w:val="clear" w:pos="454"/>
        </w:tabs>
        <w:rPr>
          <w:color w:val="auto"/>
        </w:rPr>
      </w:pPr>
      <w:r>
        <w:rPr>
          <w:color w:val="auto"/>
        </w:rPr>
        <w:t xml:space="preserve">Institutionen skal i henhold til den fælles kontoplan </w:t>
      </w:r>
      <w:r w:rsidR="00616AC5">
        <w:rPr>
          <w:color w:val="auto"/>
        </w:rPr>
        <w:t xml:space="preserve">oplyse grupperinger af </w:t>
      </w:r>
      <w:r>
        <w:rPr>
          <w:color w:val="auto"/>
        </w:rPr>
        <w:t xml:space="preserve">steddimensionsværdier </w:t>
      </w:r>
      <w:r w:rsidR="00616AC5">
        <w:rPr>
          <w:color w:val="auto"/>
        </w:rPr>
        <w:t xml:space="preserve">svarende til eventuelle overordnede organisatoriske enheder, f.eks. </w:t>
      </w:r>
      <w:r w:rsidR="00A07A72">
        <w:rPr>
          <w:color w:val="auto"/>
        </w:rPr>
        <w:t>fakulteter og institutter</w:t>
      </w:r>
      <w:r>
        <w:rPr>
          <w:color w:val="auto"/>
        </w:rPr>
        <w:t>.</w:t>
      </w:r>
      <w:r w:rsidR="0021099F">
        <w:rPr>
          <w:color w:val="auto"/>
        </w:rPr>
        <w:t xml:space="preserve"> </w:t>
      </w:r>
    </w:p>
    <w:p w14:paraId="24226C38" w14:textId="4C3593C4" w:rsidR="003A5241" w:rsidRDefault="0021099F" w:rsidP="00EE06AD">
      <w:pPr>
        <w:tabs>
          <w:tab w:val="clear" w:pos="454"/>
        </w:tabs>
        <w:rPr>
          <w:color w:val="auto"/>
        </w:rPr>
      </w:pPr>
      <w:r>
        <w:rPr>
          <w:color w:val="auto"/>
        </w:rPr>
        <w:t xml:space="preserve">Denne </w:t>
      </w:r>
      <w:r w:rsidR="00616AC5">
        <w:rPr>
          <w:color w:val="auto"/>
        </w:rPr>
        <w:t xml:space="preserve">gruppering </w:t>
      </w:r>
      <w:r w:rsidR="00B0301C">
        <w:rPr>
          <w:color w:val="auto"/>
        </w:rPr>
        <w:t>skal årligt</w:t>
      </w:r>
      <w:r>
        <w:rPr>
          <w:color w:val="auto"/>
        </w:rPr>
        <w:t xml:space="preserve"> videregives til </w:t>
      </w:r>
      <w:r w:rsidR="00A07A72">
        <w:rPr>
          <w:color w:val="auto"/>
        </w:rPr>
        <w:t>Styrelsen for Institutioner og Uddannelsesstøtte</w:t>
      </w:r>
      <w:r>
        <w:rPr>
          <w:color w:val="auto"/>
        </w:rPr>
        <w:t>.</w:t>
      </w:r>
    </w:p>
    <w:p w14:paraId="579E5DC9" w14:textId="77777777" w:rsidR="00AF30CF" w:rsidRDefault="00AF30CF" w:rsidP="00EE06AD">
      <w:pPr>
        <w:tabs>
          <w:tab w:val="clear" w:pos="454"/>
        </w:tabs>
        <w:rPr>
          <w:color w:val="auto"/>
        </w:rPr>
      </w:pPr>
    </w:p>
    <w:p w14:paraId="7180BFC2" w14:textId="32DB96E6" w:rsidR="003A5241" w:rsidRDefault="003A5241" w:rsidP="003A5241">
      <w:pPr>
        <w:rPr>
          <w:color w:val="auto"/>
        </w:rPr>
      </w:pPr>
      <w:r>
        <w:rPr>
          <w:color w:val="auto"/>
        </w:rPr>
        <w:t>Niveau</w:t>
      </w:r>
      <w:r w:rsidR="0021099F">
        <w:rPr>
          <w:color w:val="auto"/>
        </w:rPr>
        <w:t>inddelingen skal m</w:t>
      </w:r>
      <w:r>
        <w:rPr>
          <w:color w:val="auto"/>
        </w:rPr>
        <w:t xml:space="preserve">inimum </w:t>
      </w:r>
      <w:r w:rsidR="0021099F">
        <w:rPr>
          <w:color w:val="auto"/>
        </w:rPr>
        <w:t xml:space="preserve">ske i </w:t>
      </w:r>
      <w:r>
        <w:rPr>
          <w:color w:val="auto"/>
        </w:rPr>
        <w:t>to niveauer</w:t>
      </w:r>
      <w:r w:rsidR="0021099F">
        <w:rPr>
          <w:color w:val="auto"/>
        </w:rPr>
        <w:t xml:space="preserve"> og</w:t>
      </w:r>
      <w:r w:rsidR="00312885">
        <w:rPr>
          <w:color w:val="auto"/>
        </w:rPr>
        <w:t xml:space="preserve"> </w:t>
      </w:r>
      <w:r w:rsidR="0021099F">
        <w:rPr>
          <w:color w:val="auto"/>
        </w:rPr>
        <w:t>til mindste produktionsenhed</w:t>
      </w:r>
      <w:r>
        <w:rPr>
          <w:color w:val="auto"/>
        </w:rPr>
        <w:t>:</w:t>
      </w:r>
    </w:p>
    <w:p w14:paraId="73496A36" w14:textId="77777777" w:rsidR="0021099F" w:rsidRDefault="0021099F" w:rsidP="003A5241">
      <w:pPr>
        <w:rPr>
          <w:color w:val="auto"/>
        </w:rPr>
      </w:pPr>
    </w:p>
    <w:p w14:paraId="627C99D1" w14:textId="77777777" w:rsidR="003A5241" w:rsidRDefault="003A5241" w:rsidP="003A5241">
      <w:pPr>
        <w:rPr>
          <w:color w:val="auto"/>
        </w:rPr>
      </w:pPr>
      <w:r>
        <w:rPr>
          <w:color w:val="auto"/>
        </w:rPr>
        <w:t>Niveau 1:  Hele institutionen</w:t>
      </w:r>
    </w:p>
    <w:p w14:paraId="6125DF09" w14:textId="6AA00877" w:rsidR="003A5241" w:rsidRDefault="003A5241" w:rsidP="003A5241">
      <w:pPr>
        <w:rPr>
          <w:color w:val="auto"/>
        </w:rPr>
      </w:pPr>
      <w:r>
        <w:rPr>
          <w:color w:val="auto"/>
        </w:rPr>
        <w:t xml:space="preserve">Niveau </w:t>
      </w:r>
      <w:r w:rsidR="005E6745">
        <w:rPr>
          <w:color w:val="auto"/>
        </w:rPr>
        <w:t>2-</w:t>
      </w:r>
      <w:r w:rsidR="001B060D">
        <w:rPr>
          <w:color w:val="auto"/>
        </w:rPr>
        <w:t>x</w:t>
      </w:r>
      <w:r>
        <w:rPr>
          <w:color w:val="auto"/>
        </w:rPr>
        <w:t>: Divisionsniveau – f.eks. fakulteter, afdelinger eller lignende</w:t>
      </w:r>
    </w:p>
    <w:p w14:paraId="04EA3CA2" w14:textId="59318E93" w:rsidR="003A5241" w:rsidRDefault="003A5241" w:rsidP="003A5241">
      <w:pPr>
        <w:rPr>
          <w:color w:val="auto"/>
        </w:rPr>
      </w:pPr>
      <w:r>
        <w:rPr>
          <w:color w:val="auto"/>
        </w:rPr>
        <w:t xml:space="preserve">Niveau </w:t>
      </w:r>
      <w:r w:rsidR="00554785">
        <w:rPr>
          <w:color w:val="auto"/>
        </w:rPr>
        <w:t>xx-xxx</w:t>
      </w:r>
      <w:r>
        <w:rPr>
          <w:color w:val="auto"/>
        </w:rPr>
        <w:t>: Laveste/mindste produktionsenhed/budgetansvar.</w:t>
      </w:r>
    </w:p>
    <w:p w14:paraId="6CABB5FF" w14:textId="77777777" w:rsidR="00CA7D00" w:rsidRDefault="00CA7D00">
      <w:pPr>
        <w:tabs>
          <w:tab w:val="clear" w:pos="454"/>
        </w:tabs>
        <w:rPr>
          <w:color w:val="auto"/>
        </w:rPr>
      </w:pPr>
    </w:p>
    <w:p w14:paraId="007DB15A" w14:textId="1D21862F" w:rsidR="000D3D4F" w:rsidRDefault="00CA7D00">
      <w:pPr>
        <w:tabs>
          <w:tab w:val="clear" w:pos="454"/>
        </w:tabs>
        <w:rPr>
          <w:i/>
          <w:color w:val="auto"/>
        </w:rPr>
      </w:pPr>
      <w:r w:rsidRPr="00CA7D00">
        <w:rPr>
          <w:i/>
          <w:color w:val="auto"/>
          <w:highlight w:val="lightGray"/>
        </w:rPr>
        <w:t>[</w:t>
      </w:r>
      <w:r w:rsidR="007D6B4E">
        <w:rPr>
          <w:i/>
          <w:color w:val="auto"/>
          <w:highlight w:val="lightGray"/>
        </w:rPr>
        <w:t>Beskrivelse af k</w:t>
      </w:r>
      <w:r w:rsidRPr="00CA7D00">
        <w:rPr>
          <w:i/>
          <w:color w:val="auto"/>
          <w:highlight w:val="lightGray"/>
        </w:rPr>
        <w:t>rav til steddimension</w:t>
      </w:r>
      <w:r w:rsidR="007D6B4E">
        <w:rPr>
          <w:i/>
          <w:color w:val="auto"/>
          <w:highlight w:val="lightGray"/>
        </w:rPr>
        <w:t xml:space="preserve">en følger i </w:t>
      </w:r>
      <w:r w:rsidRPr="00CA7D00">
        <w:rPr>
          <w:i/>
          <w:color w:val="auto"/>
          <w:highlight w:val="lightGray"/>
        </w:rPr>
        <w:t xml:space="preserve">takt med </w:t>
      </w:r>
      <w:proofErr w:type="spellStart"/>
      <w:r w:rsidR="007D6B4E">
        <w:rPr>
          <w:i/>
          <w:color w:val="auto"/>
          <w:highlight w:val="lightGray"/>
        </w:rPr>
        <w:t>SIU’s</w:t>
      </w:r>
      <w:proofErr w:type="spellEnd"/>
      <w:r w:rsidR="007D6B4E">
        <w:rPr>
          <w:i/>
          <w:color w:val="auto"/>
          <w:highlight w:val="lightGray"/>
        </w:rPr>
        <w:t xml:space="preserve"> </w:t>
      </w:r>
      <w:r w:rsidRPr="00CA7D00">
        <w:rPr>
          <w:i/>
          <w:color w:val="auto"/>
          <w:highlight w:val="lightGray"/>
        </w:rPr>
        <w:t>arbejde med fordelingsprincipper</w:t>
      </w:r>
      <w:r w:rsidR="007D6B4E">
        <w:rPr>
          <w:i/>
          <w:color w:val="auto"/>
          <w:highlight w:val="lightGray"/>
        </w:rPr>
        <w:t>ne jf. kapitel 6</w:t>
      </w:r>
      <w:r w:rsidRPr="00CA7D00">
        <w:rPr>
          <w:i/>
          <w:color w:val="auto"/>
          <w:highlight w:val="lightGray"/>
        </w:rPr>
        <w:t>]</w:t>
      </w:r>
    </w:p>
    <w:p w14:paraId="77930F00" w14:textId="0C31D6C2" w:rsidR="009B09B7" w:rsidRDefault="009B09B7">
      <w:pPr>
        <w:tabs>
          <w:tab w:val="clear" w:pos="454"/>
        </w:tabs>
        <w:rPr>
          <w:i/>
          <w:color w:val="auto"/>
        </w:rPr>
      </w:pPr>
    </w:p>
    <w:p w14:paraId="71096BC9" w14:textId="6413DD47" w:rsidR="00D61D97" w:rsidRDefault="00D61D97">
      <w:pPr>
        <w:tabs>
          <w:tab w:val="clear" w:pos="454"/>
        </w:tabs>
        <w:rPr>
          <w:color w:val="auto"/>
        </w:rPr>
      </w:pPr>
    </w:p>
    <w:p w14:paraId="691CCAAD" w14:textId="5BFDF5C9" w:rsidR="009F14ED" w:rsidRDefault="009F14ED">
      <w:pPr>
        <w:tabs>
          <w:tab w:val="clear" w:pos="454"/>
        </w:tabs>
        <w:rPr>
          <w:color w:val="auto"/>
        </w:rPr>
      </w:pPr>
      <w:r>
        <w:rPr>
          <w:color w:val="auto"/>
        </w:rPr>
        <w:br w:type="page"/>
      </w:r>
    </w:p>
    <w:p w14:paraId="2FD164BF" w14:textId="6590B712" w:rsidR="009F14ED" w:rsidRPr="00AE0FD2" w:rsidRDefault="009F14ED" w:rsidP="009F14ED">
      <w:pPr>
        <w:spacing w:line="260" w:lineRule="exact"/>
        <w:rPr>
          <w:color w:val="auto"/>
          <w:u w:val="single"/>
        </w:rPr>
      </w:pPr>
      <w:r w:rsidRPr="00AE0FD2">
        <w:rPr>
          <w:color w:val="auto"/>
          <w:u w:val="single"/>
        </w:rPr>
        <w:lastRenderedPageBreak/>
        <w:t xml:space="preserve">KOMMENTARER FRA INSTITUTIONERNE TIL KAPITEL </w:t>
      </w:r>
      <w:r>
        <w:rPr>
          <w:color w:val="auto"/>
          <w:u w:val="single"/>
        </w:rPr>
        <w:t>4</w:t>
      </w:r>
      <w:r w:rsidRPr="00AE0FD2">
        <w:rPr>
          <w:color w:val="auto"/>
          <w:u w:val="single"/>
        </w:rPr>
        <w:t>:</w:t>
      </w:r>
    </w:p>
    <w:p w14:paraId="0F12BFD1" w14:textId="77777777" w:rsidR="009F14ED" w:rsidRPr="00AE0FD2" w:rsidRDefault="009F14ED" w:rsidP="009F14ED">
      <w:pPr>
        <w:spacing w:line="260" w:lineRule="exact"/>
        <w:rPr>
          <w:color w:val="auto"/>
        </w:rPr>
      </w:pPr>
    </w:p>
    <w:p w14:paraId="5D5572E4" w14:textId="3F829D0A" w:rsidR="009F14ED" w:rsidRPr="00AE0FD2" w:rsidRDefault="009F14ED" w:rsidP="009F14ED">
      <w:pPr>
        <w:spacing w:line="260" w:lineRule="exact"/>
        <w:rPr>
          <w:color w:val="auto"/>
        </w:rPr>
      </w:pPr>
      <w:r w:rsidRPr="00AE0FD2">
        <w:rPr>
          <w:color w:val="auto"/>
        </w:rPr>
        <w:t xml:space="preserve">SIU har </w:t>
      </w:r>
      <w:r>
        <w:rPr>
          <w:color w:val="auto"/>
        </w:rPr>
        <w:t xml:space="preserve">til version 2.1 af denne vejledning </w:t>
      </w:r>
      <w:r w:rsidRPr="00AE0FD2">
        <w:rPr>
          <w:color w:val="auto"/>
        </w:rPr>
        <w:t xml:space="preserve">modtaget nedenstående kommentarer fra </w:t>
      </w:r>
      <w:r>
        <w:rPr>
          <w:color w:val="auto"/>
        </w:rPr>
        <w:t>DTU og KP</w:t>
      </w:r>
      <w:r w:rsidRPr="00AE0FD2">
        <w:rPr>
          <w:color w:val="auto"/>
        </w:rPr>
        <w:t>. Kommentarerne er enten indarbejdet i denne version af konterings- og fordelingsvejledningen, eller drøftes med institutionerne i efteråret 2019.</w:t>
      </w:r>
    </w:p>
    <w:p w14:paraId="322576FC" w14:textId="77777777" w:rsidR="009F14ED" w:rsidRPr="00AE0FD2" w:rsidRDefault="009F14ED" w:rsidP="009F14ED">
      <w:pPr>
        <w:spacing w:line="260" w:lineRule="exact"/>
        <w:rPr>
          <w:color w:val="auto"/>
        </w:rPr>
      </w:pPr>
    </w:p>
    <w:p w14:paraId="62527970" w14:textId="09282331" w:rsidR="009F14ED" w:rsidRPr="009F14ED" w:rsidRDefault="009F14ED" w:rsidP="009F14ED">
      <w:pPr>
        <w:spacing w:line="260" w:lineRule="exact"/>
        <w:rPr>
          <w:color w:val="auto"/>
        </w:rPr>
      </w:pPr>
      <w:r>
        <w:rPr>
          <w:color w:val="auto"/>
        </w:rPr>
        <w:t>DT</w:t>
      </w:r>
      <w:r w:rsidRPr="00AE0FD2">
        <w:rPr>
          <w:color w:val="auto"/>
        </w:rPr>
        <w:t xml:space="preserve">U har </w:t>
      </w:r>
      <w:r w:rsidRPr="009F14ED">
        <w:rPr>
          <w:color w:val="auto"/>
        </w:rPr>
        <w:t>kommenteret at:</w:t>
      </w:r>
    </w:p>
    <w:p w14:paraId="27B007BA" w14:textId="67247127" w:rsidR="009F14ED" w:rsidRPr="009F14ED" w:rsidRDefault="009F14ED" w:rsidP="00037676">
      <w:pPr>
        <w:pStyle w:val="Listeafsnit"/>
        <w:numPr>
          <w:ilvl w:val="0"/>
          <w:numId w:val="18"/>
        </w:numPr>
        <w:tabs>
          <w:tab w:val="clear" w:pos="454"/>
        </w:tabs>
        <w:spacing w:line="260" w:lineRule="exact"/>
        <w:rPr>
          <w:i/>
          <w:color w:val="auto"/>
        </w:rPr>
      </w:pPr>
      <w:r w:rsidRPr="009F14ED">
        <w:rPr>
          <w:i/>
          <w:color w:val="auto"/>
        </w:rPr>
        <w:t>afrapporteringsniveau bør fastlægges i forhold til hvad der er meningsfuldt, og vurderer ikke at det er meningsfuldt at formål skal registreres på laveste stednummer niveau, som på DTU kan v</w:t>
      </w:r>
      <w:r w:rsidRPr="009F14ED">
        <w:rPr>
          <w:rFonts w:cs="Georgia"/>
          <w:i/>
          <w:color w:val="auto"/>
        </w:rPr>
        <w:t>æ</w:t>
      </w:r>
      <w:r w:rsidRPr="009F14ED">
        <w:rPr>
          <w:i/>
          <w:color w:val="auto"/>
        </w:rPr>
        <w:t xml:space="preserve">re helt ned på forskergruppeniveau. </w:t>
      </w:r>
    </w:p>
    <w:p w14:paraId="27252BC3" w14:textId="54C1E6D4" w:rsidR="009F14ED" w:rsidRDefault="009F14ED" w:rsidP="009F14ED">
      <w:pPr>
        <w:tabs>
          <w:tab w:val="clear" w:pos="454"/>
        </w:tabs>
        <w:spacing w:line="260" w:lineRule="exact"/>
        <w:rPr>
          <w:i/>
          <w:color w:val="auto"/>
        </w:rPr>
      </w:pPr>
    </w:p>
    <w:p w14:paraId="63DFB34F" w14:textId="13B2E6E8" w:rsidR="009F14ED" w:rsidRPr="009F14ED" w:rsidRDefault="009F14ED" w:rsidP="009F14ED">
      <w:pPr>
        <w:spacing w:line="260" w:lineRule="exact"/>
        <w:rPr>
          <w:color w:val="auto"/>
        </w:rPr>
      </w:pPr>
      <w:r>
        <w:rPr>
          <w:color w:val="auto"/>
        </w:rPr>
        <w:t>KP</w:t>
      </w:r>
      <w:r w:rsidRPr="00AE0FD2">
        <w:rPr>
          <w:color w:val="auto"/>
        </w:rPr>
        <w:t xml:space="preserve"> har </w:t>
      </w:r>
      <w:r w:rsidRPr="009F14ED">
        <w:rPr>
          <w:color w:val="auto"/>
        </w:rPr>
        <w:t>kommenteret at:</w:t>
      </w:r>
    </w:p>
    <w:p w14:paraId="580C8C5D" w14:textId="1DD2C8F3" w:rsidR="009F14ED" w:rsidRPr="009F14ED" w:rsidRDefault="009F14ED" w:rsidP="00037676">
      <w:pPr>
        <w:pStyle w:val="Listeafsnit"/>
        <w:numPr>
          <w:ilvl w:val="0"/>
          <w:numId w:val="19"/>
        </w:numPr>
        <w:tabs>
          <w:tab w:val="clear" w:pos="454"/>
        </w:tabs>
        <w:spacing w:line="260" w:lineRule="exact"/>
        <w:rPr>
          <w:i/>
          <w:color w:val="auto"/>
        </w:rPr>
      </w:pPr>
      <w:r w:rsidRPr="009F14ED">
        <w:rPr>
          <w:i/>
          <w:color w:val="auto"/>
        </w:rPr>
        <w:t>steddimensionen er en hjørnesten i registreringsrammen i forhold til budgetansvar og organisering, og at den derfor har er tid- og ressourcekrævende at ændre i forhold til imp</w:t>
      </w:r>
      <w:r w:rsidR="00B0301C">
        <w:rPr>
          <w:i/>
          <w:color w:val="auto"/>
        </w:rPr>
        <w:t>lementering, systemopsætning mv</w:t>
      </w:r>
      <w:r w:rsidRPr="009F14ED">
        <w:rPr>
          <w:i/>
          <w:color w:val="auto"/>
        </w:rPr>
        <w:t>.</w:t>
      </w:r>
    </w:p>
    <w:p w14:paraId="67B56553" w14:textId="77777777" w:rsidR="002A0A4F" w:rsidRPr="00DA4302" w:rsidRDefault="002A0A4F" w:rsidP="009F14ED">
      <w:pPr>
        <w:tabs>
          <w:tab w:val="clear" w:pos="454"/>
        </w:tabs>
        <w:spacing w:line="260" w:lineRule="exact"/>
        <w:rPr>
          <w:rFonts w:ascii="Calibri" w:eastAsiaTheme="majorEastAsia" w:hAnsi="Calibri" w:cstheme="majorBidi"/>
          <w:bCs/>
          <w:color w:val="auto"/>
          <w:sz w:val="74"/>
          <w:szCs w:val="28"/>
        </w:rPr>
      </w:pPr>
      <w:r w:rsidRPr="00DA4302">
        <w:rPr>
          <w:color w:val="auto"/>
        </w:rPr>
        <w:br w:type="page"/>
      </w:r>
    </w:p>
    <w:p w14:paraId="7C03D644" w14:textId="77777777" w:rsidR="00B56D11" w:rsidRPr="00BC658A" w:rsidRDefault="00B56D11" w:rsidP="00B56D11">
      <w:pPr>
        <w:pStyle w:val="Overskrift1"/>
        <w:numPr>
          <w:ilvl w:val="0"/>
          <w:numId w:val="28"/>
        </w:numPr>
        <w:rPr>
          <w:color w:val="auto"/>
        </w:rPr>
      </w:pPr>
      <w:bookmarkStart w:id="11" w:name="_Toc514319621"/>
      <w:bookmarkStart w:id="12" w:name="_Toc513122131"/>
      <w:bookmarkStart w:id="13" w:name="_Toc19280586"/>
      <w:r w:rsidRPr="00BC658A">
        <w:rPr>
          <w:color w:val="auto"/>
        </w:rPr>
        <w:lastRenderedPageBreak/>
        <w:t>Formålsdimension</w:t>
      </w:r>
      <w:bookmarkEnd w:id="13"/>
      <w:r w:rsidRPr="00BC658A">
        <w:rPr>
          <w:color w:val="auto"/>
        </w:rPr>
        <w:t xml:space="preserve"> </w:t>
      </w:r>
      <w:bookmarkEnd w:id="11"/>
    </w:p>
    <w:p w14:paraId="3A3FE3AB" w14:textId="77777777" w:rsidR="00B56D11" w:rsidRPr="00BC658A" w:rsidRDefault="00B56D11" w:rsidP="00B56D11">
      <w:pPr>
        <w:rPr>
          <w:noProof/>
          <w:color w:val="auto"/>
          <w:lang w:eastAsia="da-DK"/>
        </w:rPr>
      </w:pPr>
      <w:r w:rsidRPr="00BC658A">
        <w:rPr>
          <w:noProof/>
          <w:color w:val="auto"/>
          <w:lang w:eastAsia="da-DK"/>
        </w:rPr>
        <w:t>Institutionen skal løbende bogføre på syv formål på formålsdimensionen, dog med visse konkrete undtagelser og dispensationsmuligheder (jf. kap. 1).</w:t>
      </w:r>
    </w:p>
    <w:p w14:paraId="400DDF6D" w14:textId="77777777" w:rsidR="00B56D11" w:rsidRPr="00BC658A" w:rsidRDefault="00B56D11" w:rsidP="00B56D11">
      <w:pPr>
        <w:rPr>
          <w:color w:val="auto"/>
          <w:highlight w:val="green"/>
        </w:rPr>
      </w:pPr>
    </w:p>
    <w:p w14:paraId="6F413D4C" w14:textId="77777777" w:rsidR="00B56D11" w:rsidRPr="00BC658A" w:rsidRDefault="00B56D11" w:rsidP="00B56D11">
      <w:pPr>
        <w:rPr>
          <w:i/>
          <w:color w:val="auto"/>
        </w:rPr>
      </w:pPr>
      <w:r w:rsidRPr="00BC658A">
        <w:rPr>
          <w:i/>
          <w:color w:val="auto"/>
        </w:rPr>
        <w:t>Om formålsdimensionen</w:t>
      </w:r>
    </w:p>
    <w:p w14:paraId="34D9919C" w14:textId="77777777" w:rsidR="00B56D11" w:rsidRPr="00BC658A" w:rsidRDefault="00B56D11" w:rsidP="00B56D11">
      <w:pPr>
        <w:tabs>
          <w:tab w:val="left" w:pos="426"/>
        </w:tabs>
        <w:rPr>
          <w:color w:val="auto"/>
        </w:rPr>
      </w:pPr>
      <w:r w:rsidRPr="00BC658A">
        <w:rPr>
          <w:color w:val="auto"/>
        </w:rPr>
        <w:t>Af institutionslovgivningen om de videregående uddannelsesinstitutioner, fremgår følgende formål:</w:t>
      </w:r>
    </w:p>
    <w:p w14:paraId="19B3D109" w14:textId="77777777" w:rsidR="00B56D11" w:rsidRPr="00BC658A" w:rsidRDefault="00B56D11" w:rsidP="00B56D11">
      <w:pPr>
        <w:tabs>
          <w:tab w:val="left" w:pos="426"/>
        </w:tabs>
        <w:rPr>
          <w:color w:val="auto"/>
        </w:rPr>
      </w:pPr>
    </w:p>
    <w:p w14:paraId="22670510" w14:textId="77777777" w:rsidR="00B56D11" w:rsidRPr="00BC658A" w:rsidRDefault="00B56D11" w:rsidP="00B56D11">
      <w:pPr>
        <w:tabs>
          <w:tab w:val="left" w:pos="426"/>
        </w:tabs>
        <w:rPr>
          <w:color w:val="auto"/>
        </w:rPr>
      </w:pPr>
      <w:r w:rsidRPr="00BC658A">
        <w:rPr>
          <w:color w:val="auto"/>
        </w:rPr>
        <w:t>1.</w:t>
      </w:r>
      <w:r w:rsidRPr="00BC658A">
        <w:rPr>
          <w:color w:val="auto"/>
        </w:rPr>
        <w:tab/>
        <w:t>Uddannelse</w:t>
      </w:r>
    </w:p>
    <w:p w14:paraId="6539F287" w14:textId="77777777" w:rsidR="00B56D11" w:rsidRPr="00BC658A" w:rsidRDefault="00B56D11" w:rsidP="00B56D11">
      <w:pPr>
        <w:tabs>
          <w:tab w:val="left" w:pos="426"/>
        </w:tabs>
        <w:rPr>
          <w:color w:val="auto"/>
        </w:rPr>
      </w:pPr>
      <w:r w:rsidRPr="00BC658A">
        <w:rPr>
          <w:color w:val="auto"/>
        </w:rPr>
        <w:t>2.</w:t>
      </w:r>
      <w:r w:rsidRPr="00BC658A">
        <w:rPr>
          <w:color w:val="auto"/>
        </w:rPr>
        <w:tab/>
        <w:t>Forskning og udvikling</w:t>
      </w:r>
    </w:p>
    <w:p w14:paraId="7B1A1C53" w14:textId="77777777" w:rsidR="00B56D11" w:rsidRPr="00BC658A" w:rsidRDefault="00B56D11" w:rsidP="00B56D11">
      <w:pPr>
        <w:tabs>
          <w:tab w:val="left" w:pos="426"/>
        </w:tabs>
        <w:rPr>
          <w:color w:val="auto"/>
        </w:rPr>
      </w:pPr>
      <w:r w:rsidRPr="00BC658A">
        <w:rPr>
          <w:color w:val="auto"/>
        </w:rPr>
        <w:t>3.</w:t>
      </w:r>
      <w:r w:rsidRPr="00BC658A">
        <w:rPr>
          <w:color w:val="auto"/>
        </w:rPr>
        <w:tab/>
        <w:t xml:space="preserve">Formidling og </w:t>
      </w:r>
      <w:proofErr w:type="spellStart"/>
      <w:r w:rsidRPr="00BC658A">
        <w:rPr>
          <w:color w:val="auto"/>
        </w:rPr>
        <w:t>videnudveksling</w:t>
      </w:r>
      <w:proofErr w:type="spellEnd"/>
      <w:r w:rsidRPr="00BC658A">
        <w:rPr>
          <w:color w:val="auto"/>
        </w:rPr>
        <w:t xml:space="preserve"> </w:t>
      </w:r>
    </w:p>
    <w:p w14:paraId="33BDA2F3" w14:textId="77777777" w:rsidR="00B56D11" w:rsidRPr="00BC658A" w:rsidRDefault="00B56D11" w:rsidP="00B56D11">
      <w:pPr>
        <w:tabs>
          <w:tab w:val="left" w:pos="426"/>
        </w:tabs>
        <w:rPr>
          <w:color w:val="auto"/>
        </w:rPr>
      </w:pPr>
      <w:r w:rsidRPr="00BC658A">
        <w:rPr>
          <w:color w:val="auto"/>
        </w:rPr>
        <w:t>4.</w:t>
      </w:r>
      <w:r w:rsidRPr="00BC658A">
        <w:rPr>
          <w:color w:val="auto"/>
        </w:rPr>
        <w:tab/>
        <w:t>Myndighedsbetjening, rådgivning og øvrige ydelser</w:t>
      </w:r>
      <w:r w:rsidRPr="00BC658A" w:rsidDel="00064AA4">
        <w:rPr>
          <w:color w:val="auto"/>
        </w:rPr>
        <w:t xml:space="preserve"> </w:t>
      </w:r>
    </w:p>
    <w:p w14:paraId="0D21156E" w14:textId="77777777" w:rsidR="00B56D11" w:rsidRPr="00BC658A" w:rsidRDefault="00B56D11" w:rsidP="00B56D11">
      <w:pPr>
        <w:tabs>
          <w:tab w:val="left" w:pos="426"/>
        </w:tabs>
        <w:rPr>
          <w:color w:val="auto"/>
        </w:rPr>
      </w:pPr>
      <w:r w:rsidRPr="00BC658A">
        <w:rPr>
          <w:color w:val="auto"/>
        </w:rPr>
        <w:t>5.</w:t>
      </w:r>
      <w:r w:rsidRPr="00BC658A">
        <w:rPr>
          <w:color w:val="auto"/>
        </w:rPr>
        <w:tab/>
        <w:t>Kostafdeling og kollegier</w:t>
      </w:r>
    </w:p>
    <w:p w14:paraId="493FC592" w14:textId="77777777" w:rsidR="00B56D11" w:rsidRPr="00BC658A" w:rsidRDefault="00B56D11" w:rsidP="00B56D11">
      <w:pPr>
        <w:tabs>
          <w:tab w:val="left" w:pos="426"/>
        </w:tabs>
        <w:rPr>
          <w:color w:val="auto"/>
        </w:rPr>
      </w:pPr>
    </w:p>
    <w:p w14:paraId="2E8B5D1D" w14:textId="77777777" w:rsidR="00B56D11" w:rsidRPr="00BC658A" w:rsidRDefault="00B56D11" w:rsidP="00B56D11">
      <w:pPr>
        <w:tabs>
          <w:tab w:val="left" w:pos="426"/>
        </w:tabs>
        <w:rPr>
          <w:color w:val="auto"/>
        </w:rPr>
      </w:pPr>
      <w:r w:rsidRPr="00BC658A">
        <w:rPr>
          <w:color w:val="auto"/>
        </w:rPr>
        <w:t>Formålsdimensionen i den fælles kontoplan omfatter derudover følgende to formål:</w:t>
      </w:r>
    </w:p>
    <w:p w14:paraId="337FEAAB" w14:textId="77777777" w:rsidR="00B56D11" w:rsidRPr="00BC658A" w:rsidRDefault="00B56D11" w:rsidP="00B56D11">
      <w:pPr>
        <w:tabs>
          <w:tab w:val="left" w:pos="426"/>
        </w:tabs>
        <w:rPr>
          <w:color w:val="auto"/>
        </w:rPr>
      </w:pPr>
    </w:p>
    <w:p w14:paraId="4D5A6063" w14:textId="77777777" w:rsidR="00B56D11" w:rsidRPr="00BC658A" w:rsidRDefault="00B56D11" w:rsidP="00B56D11">
      <w:pPr>
        <w:tabs>
          <w:tab w:val="left" w:pos="426"/>
        </w:tabs>
        <w:rPr>
          <w:color w:val="auto"/>
        </w:rPr>
      </w:pPr>
      <w:r w:rsidRPr="00BC658A">
        <w:rPr>
          <w:color w:val="auto"/>
        </w:rPr>
        <w:t>6.</w:t>
      </w:r>
      <w:r w:rsidRPr="00BC658A">
        <w:rPr>
          <w:color w:val="auto"/>
        </w:rPr>
        <w:tab/>
        <w:t xml:space="preserve">Generelle fællesomkostninger </w:t>
      </w:r>
    </w:p>
    <w:p w14:paraId="1F308DA2" w14:textId="77777777" w:rsidR="00B56D11" w:rsidRPr="00BC658A" w:rsidRDefault="00B56D11" w:rsidP="00B56D11">
      <w:pPr>
        <w:tabs>
          <w:tab w:val="left" w:pos="426"/>
        </w:tabs>
        <w:rPr>
          <w:color w:val="auto"/>
        </w:rPr>
      </w:pPr>
      <w:r w:rsidRPr="00BC658A">
        <w:rPr>
          <w:color w:val="auto"/>
        </w:rPr>
        <w:t xml:space="preserve">7. </w:t>
      </w:r>
      <w:r w:rsidRPr="00BC658A">
        <w:rPr>
          <w:color w:val="auto"/>
        </w:rPr>
        <w:tab/>
        <w:t xml:space="preserve">Bygninger og bygningsdrift </w:t>
      </w:r>
    </w:p>
    <w:p w14:paraId="24B64743" w14:textId="77777777" w:rsidR="00B56D11" w:rsidRPr="00BC658A" w:rsidRDefault="00B56D11" w:rsidP="00B56D11">
      <w:pPr>
        <w:rPr>
          <w:color w:val="auto"/>
        </w:rPr>
      </w:pPr>
    </w:p>
    <w:p w14:paraId="7FD88CC9" w14:textId="77777777" w:rsidR="00B56D11" w:rsidRPr="00BC658A" w:rsidRDefault="00B56D11" w:rsidP="00B56D11">
      <w:pPr>
        <w:rPr>
          <w:color w:val="auto"/>
        </w:rPr>
      </w:pPr>
    </w:p>
    <w:p w14:paraId="319DE4BF" w14:textId="77777777" w:rsidR="00B56D11" w:rsidRPr="00BC658A" w:rsidRDefault="00B56D11" w:rsidP="00B56D11">
      <w:pPr>
        <w:rPr>
          <w:i/>
          <w:color w:val="auto"/>
        </w:rPr>
      </w:pPr>
      <w:r w:rsidRPr="00BC658A">
        <w:rPr>
          <w:i/>
          <w:color w:val="auto"/>
          <w:highlight w:val="lightGray"/>
        </w:rPr>
        <w:t>[Retningslinjer for omkostninger der løbende omposteres fra en dimension til en anden (fx OH som omposteres mellem alle fire obligatoriske dimensioner) udarbejdes af SIU]</w:t>
      </w:r>
    </w:p>
    <w:p w14:paraId="115D3241" w14:textId="77777777" w:rsidR="00B56D11" w:rsidRPr="00BC658A" w:rsidRDefault="00B56D11" w:rsidP="00B56D11">
      <w:pPr>
        <w:rPr>
          <w:i/>
          <w:color w:val="auto"/>
        </w:rPr>
      </w:pPr>
    </w:p>
    <w:p w14:paraId="3F5DAA4D" w14:textId="77777777" w:rsidR="00B56D11" w:rsidRPr="00BC658A" w:rsidRDefault="00B56D11" w:rsidP="00B56D11">
      <w:pPr>
        <w:rPr>
          <w:i/>
          <w:color w:val="auto"/>
        </w:rPr>
      </w:pPr>
      <w:r w:rsidRPr="00BC658A">
        <w:rPr>
          <w:i/>
          <w:color w:val="auto"/>
          <w:highlight w:val="lightGray"/>
        </w:rPr>
        <w:t>[Muligheden for at kunne adskille direkte og indirekte omkostninger i den Fælles Kontoplan drøftes mellem SIU og institutionerne]</w:t>
      </w:r>
    </w:p>
    <w:p w14:paraId="075B18C7" w14:textId="77777777" w:rsidR="00B56D11" w:rsidRPr="00BC658A" w:rsidRDefault="00B56D11" w:rsidP="00B56D11">
      <w:pPr>
        <w:rPr>
          <w:i/>
          <w:color w:val="auto"/>
        </w:rPr>
      </w:pPr>
    </w:p>
    <w:p w14:paraId="4CD244BD" w14:textId="77777777" w:rsidR="00B56D11" w:rsidRPr="00BC658A" w:rsidRDefault="00B56D11" w:rsidP="00B56D11">
      <w:pPr>
        <w:rPr>
          <w:i/>
          <w:color w:val="auto"/>
        </w:rPr>
      </w:pPr>
    </w:p>
    <w:p w14:paraId="39A3D436" w14:textId="77777777" w:rsidR="00B56D11" w:rsidRPr="00BC658A" w:rsidRDefault="00B56D11" w:rsidP="00B56D11">
      <w:pPr>
        <w:pStyle w:val="Listeafsnit"/>
        <w:numPr>
          <w:ilvl w:val="1"/>
          <w:numId w:val="8"/>
        </w:numPr>
        <w:rPr>
          <w:b/>
          <w:color w:val="auto"/>
        </w:rPr>
      </w:pPr>
      <w:r w:rsidRPr="00BC658A">
        <w:rPr>
          <w:b/>
          <w:color w:val="auto"/>
        </w:rPr>
        <w:t>Uddannelse</w:t>
      </w:r>
    </w:p>
    <w:p w14:paraId="5D10F561" w14:textId="77777777" w:rsidR="00B56D11" w:rsidRPr="00BC658A" w:rsidRDefault="00B56D11" w:rsidP="00B56D11">
      <w:pPr>
        <w:pStyle w:val="Listeafsnit"/>
        <w:ind w:left="0"/>
        <w:rPr>
          <w:color w:val="auto"/>
        </w:rPr>
      </w:pPr>
      <w:r w:rsidRPr="00BC658A">
        <w:rPr>
          <w:color w:val="auto"/>
        </w:rPr>
        <w:t>Formålet omfatter alle institutionens omkostninger og indtægter (sidstnævnte undtaget tilskud til almindelig virksomhed fra Styrelsen for Institutioner og Uddannelsesstøtte) til uddannelsesaktiviteter.</w:t>
      </w:r>
    </w:p>
    <w:p w14:paraId="6EA27B4D" w14:textId="77777777" w:rsidR="00B56D11" w:rsidRPr="00BC658A" w:rsidRDefault="00B56D11" w:rsidP="00B56D11">
      <w:pPr>
        <w:pStyle w:val="Listeafsnit"/>
        <w:ind w:left="0"/>
        <w:rPr>
          <w:color w:val="auto"/>
        </w:rPr>
      </w:pPr>
    </w:p>
    <w:p w14:paraId="6A613CD8" w14:textId="77777777" w:rsidR="00B56D11" w:rsidRPr="00BC658A" w:rsidRDefault="00B56D11" w:rsidP="00B56D11">
      <w:pPr>
        <w:pStyle w:val="Listeafsnit"/>
        <w:ind w:left="0"/>
        <w:rPr>
          <w:color w:val="auto"/>
        </w:rPr>
      </w:pPr>
      <w:r w:rsidRPr="00BC658A">
        <w:rPr>
          <w:color w:val="auto"/>
        </w:rPr>
        <w:t>Uddannelsesaktiviteter der skal registreres på formålet følger nedenfor. Listen indeholder aktiviteter, der skal registreres på ’Formål 1. Uddannelse’. Det er ikke obligatorisk at registrere indtægter og omkostninger på delformål i institutionens økonomisystem, men hvis institutionen ønsker dette, skal styrelsens nummerstruktur for registrering af delformål anvendes. Listen er tilgængelig på UFM.dk [linket indsættes her].</w:t>
      </w:r>
    </w:p>
    <w:p w14:paraId="2F681EAF" w14:textId="77777777" w:rsidR="00B56D11" w:rsidRPr="00BC658A" w:rsidRDefault="00B56D11" w:rsidP="00B56D11">
      <w:pPr>
        <w:pStyle w:val="Listeafsnit"/>
        <w:ind w:left="0"/>
        <w:rPr>
          <w:color w:val="auto"/>
        </w:rPr>
      </w:pPr>
      <w:r w:rsidRPr="00BC658A">
        <w:rPr>
          <w:color w:val="auto"/>
        </w:rPr>
        <w:br/>
        <w:t>Uddannelsesaktiviteter:</w:t>
      </w:r>
    </w:p>
    <w:p w14:paraId="486DEED9" w14:textId="77777777" w:rsidR="00B56D11" w:rsidRPr="00BC658A" w:rsidRDefault="00B56D11" w:rsidP="00B56D11">
      <w:pPr>
        <w:pStyle w:val="Listeafsnit"/>
        <w:numPr>
          <w:ilvl w:val="0"/>
          <w:numId w:val="3"/>
        </w:numPr>
        <w:tabs>
          <w:tab w:val="clear" w:pos="454"/>
        </w:tabs>
        <w:rPr>
          <w:color w:val="auto"/>
        </w:rPr>
      </w:pPr>
      <w:r w:rsidRPr="00BC658A">
        <w:rPr>
          <w:color w:val="auto"/>
        </w:rPr>
        <w:t>Direkte omkostninger (og eventuelle indtægter) til uddannelse, herunder undervisning, eksamen, forberedelse, vejledning, censoromkostninger mv. i relation til følgende uddannelsesudbud:</w:t>
      </w:r>
    </w:p>
    <w:p w14:paraId="3C70DB6A" w14:textId="77777777" w:rsidR="00B56D11" w:rsidRPr="00BC658A" w:rsidRDefault="00B56D11" w:rsidP="00B56D11">
      <w:pPr>
        <w:pStyle w:val="Listeafsnit"/>
        <w:numPr>
          <w:ilvl w:val="1"/>
          <w:numId w:val="3"/>
        </w:numPr>
        <w:tabs>
          <w:tab w:val="clear" w:pos="454"/>
        </w:tabs>
        <w:rPr>
          <w:i/>
          <w:color w:val="auto"/>
          <w:u w:val="single"/>
        </w:rPr>
      </w:pPr>
      <w:r w:rsidRPr="00BC658A">
        <w:rPr>
          <w:i/>
          <w:color w:val="auto"/>
          <w:u w:val="single"/>
        </w:rPr>
        <w:t>Heltidsuddannelse:</w:t>
      </w:r>
    </w:p>
    <w:p w14:paraId="509E5084" w14:textId="77777777" w:rsidR="00B56D11" w:rsidRPr="00BC658A" w:rsidRDefault="00B56D11" w:rsidP="00B56D11">
      <w:pPr>
        <w:pStyle w:val="Listeafsnit"/>
        <w:numPr>
          <w:ilvl w:val="1"/>
          <w:numId w:val="3"/>
        </w:numPr>
        <w:tabs>
          <w:tab w:val="clear" w:pos="454"/>
        </w:tabs>
        <w:rPr>
          <w:color w:val="auto"/>
        </w:rPr>
      </w:pPr>
      <w:r w:rsidRPr="00BC658A">
        <w:rPr>
          <w:color w:val="auto"/>
        </w:rPr>
        <w:t>Ordinære heltidsuddannelser. Det gælder både korte, mellemlange og lange videregående uddannelser, samt erhvervsuddannelser.</w:t>
      </w:r>
    </w:p>
    <w:p w14:paraId="6483BE14" w14:textId="77777777" w:rsidR="00B56D11" w:rsidRPr="00BC658A" w:rsidRDefault="00B56D11" w:rsidP="00B56D11">
      <w:pPr>
        <w:pStyle w:val="Listeafsnit"/>
        <w:numPr>
          <w:ilvl w:val="1"/>
          <w:numId w:val="3"/>
        </w:numPr>
        <w:tabs>
          <w:tab w:val="clear" w:pos="454"/>
        </w:tabs>
        <w:rPr>
          <w:color w:val="auto"/>
        </w:rPr>
      </w:pPr>
      <w:r w:rsidRPr="00BC658A">
        <w:rPr>
          <w:color w:val="auto"/>
        </w:rPr>
        <w:t xml:space="preserve">EUD og EUV. </w:t>
      </w:r>
    </w:p>
    <w:p w14:paraId="2D1FF536" w14:textId="77777777" w:rsidR="00B56D11" w:rsidRPr="00BC658A" w:rsidRDefault="00B56D11" w:rsidP="00B56D11">
      <w:pPr>
        <w:pStyle w:val="Listeafsnit"/>
        <w:numPr>
          <w:ilvl w:val="1"/>
          <w:numId w:val="3"/>
        </w:numPr>
        <w:tabs>
          <w:tab w:val="clear" w:pos="454"/>
        </w:tabs>
        <w:rPr>
          <w:color w:val="auto"/>
        </w:rPr>
      </w:pPr>
      <w:r w:rsidRPr="00BC658A">
        <w:rPr>
          <w:color w:val="auto"/>
        </w:rPr>
        <w:t xml:space="preserve">Gymnasiale uddannelser </w:t>
      </w:r>
    </w:p>
    <w:p w14:paraId="3E0EDA54" w14:textId="77777777" w:rsidR="00B56D11" w:rsidRPr="00BC658A" w:rsidRDefault="00B56D11" w:rsidP="00B56D11">
      <w:pPr>
        <w:pStyle w:val="Listeafsnit"/>
        <w:numPr>
          <w:ilvl w:val="1"/>
          <w:numId w:val="3"/>
        </w:numPr>
        <w:tabs>
          <w:tab w:val="clear" w:pos="454"/>
        </w:tabs>
        <w:rPr>
          <w:color w:val="auto"/>
        </w:rPr>
      </w:pPr>
      <w:r w:rsidRPr="00BC658A">
        <w:rPr>
          <w:color w:val="auto"/>
        </w:rPr>
        <w:t>Engelsksprogede udbud.</w:t>
      </w:r>
    </w:p>
    <w:p w14:paraId="5ADAADD1" w14:textId="77777777" w:rsidR="00B56D11" w:rsidRPr="00BC658A" w:rsidRDefault="00B56D11" w:rsidP="00B56D11">
      <w:pPr>
        <w:pStyle w:val="Listeafsnit"/>
        <w:numPr>
          <w:ilvl w:val="1"/>
          <w:numId w:val="3"/>
        </w:numPr>
        <w:tabs>
          <w:tab w:val="clear" w:pos="454"/>
        </w:tabs>
        <w:rPr>
          <w:color w:val="auto"/>
        </w:rPr>
      </w:pPr>
      <w:r w:rsidRPr="00BC658A">
        <w:rPr>
          <w:color w:val="auto"/>
        </w:rPr>
        <w:t>Studieretninger og propædeutik.</w:t>
      </w:r>
    </w:p>
    <w:p w14:paraId="124B1AF2" w14:textId="77777777" w:rsidR="00B56D11" w:rsidRPr="00BC658A" w:rsidRDefault="00B56D11" w:rsidP="00B56D11">
      <w:pPr>
        <w:pStyle w:val="Listeafsnit"/>
        <w:numPr>
          <w:ilvl w:val="1"/>
          <w:numId w:val="3"/>
        </w:numPr>
        <w:tabs>
          <w:tab w:val="clear" w:pos="454"/>
        </w:tabs>
        <w:rPr>
          <w:color w:val="auto"/>
        </w:rPr>
      </w:pPr>
      <w:r w:rsidRPr="00BC658A">
        <w:rPr>
          <w:color w:val="auto"/>
        </w:rPr>
        <w:lastRenderedPageBreak/>
        <w:t>E-læringsudbud.</w:t>
      </w:r>
      <w:r>
        <w:rPr>
          <w:color w:val="auto"/>
        </w:rPr>
        <w:br/>
      </w:r>
    </w:p>
    <w:p w14:paraId="66557E98" w14:textId="77777777" w:rsidR="00B56D11" w:rsidRPr="00BC658A" w:rsidRDefault="00B56D11" w:rsidP="00B56D11">
      <w:pPr>
        <w:pStyle w:val="Listeafsnit"/>
        <w:numPr>
          <w:ilvl w:val="1"/>
          <w:numId w:val="3"/>
        </w:numPr>
        <w:tabs>
          <w:tab w:val="clear" w:pos="454"/>
        </w:tabs>
        <w:rPr>
          <w:i/>
          <w:color w:val="auto"/>
          <w:u w:val="single"/>
        </w:rPr>
      </w:pPr>
      <w:r w:rsidRPr="00BC658A">
        <w:rPr>
          <w:i/>
          <w:color w:val="auto"/>
          <w:u w:val="single"/>
        </w:rPr>
        <w:t>Efter- og videreuddannelse og øvrige kurser mv.:</w:t>
      </w:r>
    </w:p>
    <w:p w14:paraId="78E66E66" w14:textId="77777777" w:rsidR="00B56D11" w:rsidRPr="00BC658A" w:rsidRDefault="00B56D11" w:rsidP="00B56D11">
      <w:pPr>
        <w:pStyle w:val="Listeafsnit"/>
        <w:numPr>
          <w:ilvl w:val="1"/>
          <w:numId w:val="3"/>
        </w:numPr>
        <w:tabs>
          <w:tab w:val="clear" w:pos="454"/>
        </w:tabs>
        <w:rPr>
          <w:color w:val="auto"/>
        </w:rPr>
      </w:pPr>
      <w:r w:rsidRPr="00BC658A">
        <w:rPr>
          <w:color w:val="auto"/>
        </w:rPr>
        <w:t>Akademi-, diplom-, HD/ED- og masteruddannelser.</w:t>
      </w:r>
    </w:p>
    <w:p w14:paraId="3B262F73" w14:textId="77777777" w:rsidR="00B56D11" w:rsidRPr="00BC658A" w:rsidRDefault="00B56D11" w:rsidP="00B56D11">
      <w:pPr>
        <w:pStyle w:val="Listeafsnit"/>
        <w:numPr>
          <w:ilvl w:val="1"/>
          <w:numId w:val="3"/>
        </w:numPr>
        <w:tabs>
          <w:tab w:val="clear" w:pos="454"/>
        </w:tabs>
        <w:rPr>
          <w:color w:val="auto"/>
        </w:rPr>
      </w:pPr>
      <w:r w:rsidRPr="00BC658A">
        <w:rPr>
          <w:color w:val="auto"/>
        </w:rPr>
        <w:t>Udbud af enkeltfag fra de ordinære uddannelser (herunder tompladsordningen).</w:t>
      </w:r>
    </w:p>
    <w:p w14:paraId="42F713F0" w14:textId="77777777" w:rsidR="00B56D11" w:rsidRPr="00BC658A" w:rsidRDefault="00B56D11" w:rsidP="00B56D11">
      <w:pPr>
        <w:pStyle w:val="Listeafsnit"/>
        <w:numPr>
          <w:ilvl w:val="1"/>
          <w:numId w:val="3"/>
        </w:numPr>
        <w:tabs>
          <w:tab w:val="clear" w:pos="454"/>
        </w:tabs>
        <w:rPr>
          <w:color w:val="auto"/>
        </w:rPr>
      </w:pPr>
      <w:r>
        <w:rPr>
          <w:color w:val="auto"/>
        </w:rPr>
        <w:t xml:space="preserve">Fagspecifikke kurser. </w:t>
      </w:r>
    </w:p>
    <w:p w14:paraId="1BC4AAC4" w14:textId="77777777" w:rsidR="00B56D11" w:rsidRPr="00BC658A" w:rsidRDefault="00B56D11" w:rsidP="00B56D11">
      <w:pPr>
        <w:pStyle w:val="Listeafsnit"/>
        <w:numPr>
          <w:ilvl w:val="1"/>
          <w:numId w:val="3"/>
        </w:numPr>
        <w:tabs>
          <w:tab w:val="clear" w:pos="454"/>
        </w:tabs>
        <w:rPr>
          <w:color w:val="auto"/>
        </w:rPr>
      </w:pPr>
      <w:r w:rsidRPr="00BC658A">
        <w:rPr>
          <w:color w:val="auto"/>
        </w:rPr>
        <w:t xml:space="preserve">Uregulerede kurser, herunder kurser gennemført som indtægtsdækket virksomhed og tilskudsfinansieret aktivitet. </w:t>
      </w:r>
    </w:p>
    <w:p w14:paraId="62D7ED1B" w14:textId="77777777" w:rsidR="00B56D11" w:rsidRPr="00BC658A" w:rsidRDefault="00B56D11" w:rsidP="00B56D11">
      <w:pPr>
        <w:pStyle w:val="Listeafsnit"/>
        <w:numPr>
          <w:ilvl w:val="1"/>
          <w:numId w:val="3"/>
        </w:numPr>
        <w:tabs>
          <w:tab w:val="clear" w:pos="454"/>
        </w:tabs>
        <w:rPr>
          <w:color w:val="auto"/>
        </w:rPr>
      </w:pPr>
      <w:r>
        <w:rPr>
          <w:color w:val="auto"/>
        </w:rPr>
        <w:t xml:space="preserve">AMU-kurser. </w:t>
      </w:r>
    </w:p>
    <w:p w14:paraId="10AFFEBA" w14:textId="77777777" w:rsidR="00B56D11" w:rsidRPr="00BC658A" w:rsidRDefault="00B56D11" w:rsidP="00B56D11">
      <w:pPr>
        <w:pStyle w:val="Listeafsnit"/>
        <w:numPr>
          <w:ilvl w:val="1"/>
          <w:numId w:val="3"/>
        </w:numPr>
        <w:tabs>
          <w:tab w:val="clear" w:pos="454"/>
        </w:tabs>
        <w:rPr>
          <w:color w:val="auto"/>
        </w:rPr>
      </w:pPr>
      <w:r w:rsidRPr="00BC658A">
        <w:rPr>
          <w:color w:val="auto"/>
        </w:rPr>
        <w:t>Ph.d.ers undervisningsforpligtelse.</w:t>
      </w:r>
    </w:p>
    <w:p w14:paraId="4ACBD7D9" w14:textId="77777777" w:rsidR="00B56D11" w:rsidRPr="00BC658A" w:rsidRDefault="00B56D11" w:rsidP="00B56D11">
      <w:pPr>
        <w:tabs>
          <w:tab w:val="clear" w:pos="454"/>
        </w:tabs>
        <w:rPr>
          <w:color w:val="auto"/>
        </w:rPr>
      </w:pPr>
    </w:p>
    <w:p w14:paraId="0924751B" w14:textId="77777777" w:rsidR="00B56D11" w:rsidRPr="00BC658A" w:rsidRDefault="00B56D11" w:rsidP="00B56D11">
      <w:pPr>
        <w:pStyle w:val="Listeafsnit"/>
        <w:numPr>
          <w:ilvl w:val="0"/>
          <w:numId w:val="3"/>
        </w:numPr>
        <w:tabs>
          <w:tab w:val="clear" w:pos="454"/>
        </w:tabs>
        <w:rPr>
          <w:color w:val="auto"/>
        </w:rPr>
      </w:pPr>
      <w:r w:rsidRPr="00BC658A">
        <w:rPr>
          <w:color w:val="auto"/>
        </w:rPr>
        <w:t>Omkostninger (og eventuelle indtægter) til administration i tilknytning til uddannelse, herunder studievejledning og studieadministration:</w:t>
      </w:r>
    </w:p>
    <w:p w14:paraId="56AD350B" w14:textId="77777777" w:rsidR="00B56D11" w:rsidRPr="00BC658A" w:rsidRDefault="00B56D11" w:rsidP="00B56D11">
      <w:pPr>
        <w:pStyle w:val="Listeafsnit"/>
        <w:numPr>
          <w:ilvl w:val="1"/>
          <w:numId w:val="3"/>
        </w:numPr>
        <w:tabs>
          <w:tab w:val="clear" w:pos="454"/>
        </w:tabs>
        <w:rPr>
          <w:color w:val="auto"/>
        </w:rPr>
      </w:pPr>
      <w:r w:rsidRPr="00BC658A">
        <w:rPr>
          <w:color w:val="auto"/>
        </w:rPr>
        <w:t>Administration og ledelse på alle organisatoriske niveauer, der sker i tilknytning til alle typer undervisningsaktivitet eller servicering af studerende, f.eks. studieadministration, internationalisering af uddannelse, stipendie- og legat administration, administration af øvrige tilskudsordninger vedr. uddannelse, koordination af uddannelse og den koordinerede tilmelding.</w:t>
      </w:r>
    </w:p>
    <w:p w14:paraId="4DD8D597" w14:textId="77777777" w:rsidR="00B56D11" w:rsidRPr="00BC658A" w:rsidRDefault="00B56D11" w:rsidP="00B56D11">
      <w:pPr>
        <w:pStyle w:val="Listeafsnit"/>
        <w:numPr>
          <w:ilvl w:val="1"/>
          <w:numId w:val="3"/>
        </w:numPr>
        <w:tabs>
          <w:tab w:val="clear" w:pos="454"/>
        </w:tabs>
        <w:rPr>
          <w:color w:val="auto"/>
        </w:rPr>
      </w:pPr>
      <w:r w:rsidRPr="00BC658A">
        <w:rPr>
          <w:color w:val="auto"/>
        </w:rPr>
        <w:t>Udadrettet sagsbehandling af studerende, f.eks. indskrivning, eksamens- og lokaleadministration, studie- og fagbeskrivelser, studie- og erhvervsvejledning.</w:t>
      </w:r>
    </w:p>
    <w:p w14:paraId="1286DF98" w14:textId="77777777" w:rsidR="00B56D11" w:rsidRPr="00BC658A" w:rsidRDefault="00B56D11" w:rsidP="00B56D11">
      <w:pPr>
        <w:pStyle w:val="Listeafsnit"/>
        <w:numPr>
          <w:ilvl w:val="1"/>
          <w:numId w:val="3"/>
        </w:numPr>
        <w:tabs>
          <w:tab w:val="clear" w:pos="454"/>
        </w:tabs>
        <w:rPr>
          <w:color w:val="auto"/>
        </w:rPr>
      </w:pPr>
      <w:r w:rsidRPr="00BC658A">
        <w:rPr>
          <w:color w:val="auto"/>
        </w:rPr>
        <w:t>Administration i tilknytning til alle de forskellige typer uddannelse, inkl. administration af kurser udbudt som indtægtsdækket virksomhed og tilskudsfinansieret aktivitet.</w:t>
      </w:r>
    </w:p>
    <w:p w14:paraId="5B3C869C" w14:textId="77777777" w:rsidR="00B56D11" w:rsidRPr="00BC658A" w:rsidRDefault="00B56D11" w:rsidP="00B56D11">
      <w:pPr>
        <w:pStyle w:val="Listeafsnit"/>
        <w:numPr>
          <w:ilvl w:val="1"/>
          <w:numId w:val="3"/>
        </w:numPr>
        <w:tabs>
          <w:tab w:val="clear" w:pos="454"/>
        </w:tabs>
        <w:rPr>
          <w:color w:val="auto"/>
        </w:rPr>
      </w:pPr>
      <w:r w:rsidRPr="00BC658A">
        <w:rPr>
          <w:color w:val="auto"/>
        </w:rPr>
        <w:t>Promovering/markedsføring af uddannelse, planlægning af uddannelseskonferencer, overordnet planlægning og strategisk udvikling af uddannelser og økonomisk opfølgning på projekter vedr. uddannelse. Ansættelses- og bedømmelsesudvalg i relation til stillinger under formålet uddannelse.</w:t>
      </w:r>
    </w:p>
    <w:p w14:paraId="3C04F7F2" w14:textId="77777777" w:rsidR="00B56D11" w:rsidRPr="00BC658A" w:rsidRDefault="00B56D11" w:rsidP="00B56D11">
      <w:pPr>
        <w:pStyle w:val="Listeafsnit"/>
        <w:numPr>
          <w:ilvl w:val="1"/>
          <w:numId w:val="3"/>
        </w:numPr>
        <w:tabs>
          <w:tab w:val="clear" w:pos="454"/>
        </w:tabs>
        <w:rPr>
          <w:color w:val="auto"/>
        </w:rPr>
      </w:pPr>
      <w:r w:rsidRPr="00BC658A">
        <w:rPr>
          <w:color w:val="auto"/>
        </w:rPr>
        <w:t>IT-udstyr og systemer vedrørende uddannelse, når det entydigt o</w:t>
      </w:r>
      <w:r>
        <w:rPr>
          <w:color w:val="auto"/>
        </w:rPr>
        <w:t xml:space="preserve">g direkte kan henføres hertil. </w:t>
      </w:r>
      <w:r w:rsidRPr="00BC658A">
        <w:rPr>
          <w:color w:val="auto"/>
        </w:rPr>
        <w:br/>
      </w:r>
      <w:r w:rsidRPr="00BC658A">
        <w:rPr>
          <w:color w:val="auto"/>
        </w:rPr>
        <w:br/>
      </w:r>
    </w:p>
    <w:p w14:paraId="25A8E09F" w14:textId="77777777" w:rsidR="00B56D11" w:rsidRPr="00BC658A" w:rsidRDefault="00B56D11" w:rsidP="00B56D11">
      <w:pPr>
        <w:pStyle w:val="Listeafsnit"/>
        <w:numPr>
          <w:ilvl w:val="1"/>
          <w:numId w:val="8"/>
        </w:numPr>
        <w:rPr>
          <w:b/>
          <w:color w:val="auto"/>
        </w:rPr>
      </w:pPr>
      <w:r w:rsidRPr="00BC658A">
        <w:rPr>
          <w:b/>
          <w:color w:val="auto"/>
        </w:rPr>
        <w:t>Forskning og udvikling</w:t>
      </w:r>
    </w:p>
    <w:p w14:paraId="5ABE0834" w14:textId="77777777" w:rsidR="00B56D11" w:rsidRPr="00BC658A" w:rsidRDefault="00B56D11" w:rsidP="00B56D11">
      <w:pPr>
        <w:rPr>
          <w:color w:val="auto"/>
        </w:rPr>
      </w:pPr>
    </w:p>
    <w:p w14:paraId="474DA7EE" w14:textId="77777777" w:rsidR="00B56D11" w:rsidRPr="00BC658A" w:rsidRDefault="00B56D11" w:rsidP="00B56D11">
      <w:pPr>
        <w:pStyle w:val="Listeafsnit"/>
        <w:ind w:left="0"/>
        <w:rPr>
          <w:color w:val="auto"/>
        </w:rPr>
      </w:pPr>
      <w:r w:rsidRPr="00BC658A">
        <w:rPr>
          <w:color w:val="auto"/>
        </w:rPr>
        <w:t>Formålet omfatter alle institutionens omkostninger og indtægter (sidstnævnte undtaget tilskud til almindelig virksomhed fra Styrelsen for Institutioner og Uddannelsesstøtte) til forsknings- og udviklingsaktiviteter.</w:t>
      </w:r>
    </w:p>
    <w:p w14:paraId="093024AA" w14:textId="77777777" w:rsidR="00B56D11" w:rsidRPr="00BC658A" w:rsidRDefault="00B56D11" w:rsidP="00B56D11">
      <w:pPr>
        <w:pStyle w:val="Listeafsnit"/>
        <w:ind w:left="0"/>
        <w:rPr>
          <w:color w:val="auto"/>
        </w:rPr>
      </w:pPr>
    </w:p>
    <w:p w14:paraId="16FB4103" w14:textId="77777777" w:rsidR="00B56D11" w:rsidRPr="00BC658A" w:rsidRDefault="00B56D11" w:rsidP="00B56D11">
      <w:pPr>
        <w:pStyle w:val="Listeafsnit"/>
        <w:ind w:left="0"/>
        <w:rPr>
          <w:color w:val="auto"/>
        </w:rPr>
      </w:pPr>
      <w:r w:rsidRPr="00BC658A">
        <w:rPr>
          <w:color w:val="auto"/>
        </w:rPr>
        <w:t>Forsknings- og udviklingsaktiviteter</w:t>
      </w:r>
      <w:r w:rsidRPr="00BC658A">
        <w:t xml:space="preserve"> </w:t>
      </w:r>
      <w:r w:rsidRPr="00BC658A">
        <w:rPr>
          <w:color w:val="auto"/>
        </w:rPr>
        <w:t>følger nedenfor. Listen indeholder aktiviteter, der skal registreres på ’Formål 2. Forskning og udvikling’. Det er ikke obligatorisk at registrere indtægter og omkostninger på delformål i institutionens økonomisystem, men hvis institutionen ønsker dette, skal styrelsens nummerstruktur for registrering af delformål anvendes. Listen er tilgængelig på UFM.dk [linket indsættes her].</w:t>
      </w:r>
    </w:p>
    <w:p w14:paraId="3FF9CCDB" w14:textId="77777777" w:rsidR="00B56D11" w:rsidRPr="00BC658A" w:rsidRDefault="00B56D11" w:rsidP="00B56D11">
      <w:pPr>
        <w:pStyle w:val="Listeafsnit"/>
        <w:rPr>
          <w:color w:val="auto"/>
        </w:rPr>
      </w:pPr>
    </w:p>
    <w:p w14:paraId="6D34D34F" w14:textId="77777777" w:rsidR="00B56D11" w:rsidRPr="00BC658A" w:rsidRDefault="00B56D11" w:rsidP="00B56D11">
      <w:pPr>
        <w:pStyle w:val="Listeafsnit"/>
        <w:ind w:left="0"/>
        <w:rPr>
          <w:color w:val="auto"/>
        </w:rPr>
      </w:pPr>
      <w:r w:rsidRPr="00BC658A">
        <w:rPr>
          <w:color w:val="auto"/>
        </w:rPr>
        <w:t>Forsknings- og udviklingsaktiviteter:</w:t>
      </w:r>
    </w:p>
    <w:p w14:paraId="1E9B712B" w14:textId="77777777" w:rsidR="00B56D11" w:rsidRPr="00BC658A" w:rsidRDefault="00B56D11" w:rsidP="00B56D11">
      <w:pPr>
        <w:pStyle w:val="Listeafsnit"/>
        <w:ind w:left="0"/>
        <w:rPr>
          <w:color w:val="auto"/>
        </w:rPr>
      </w:pPr>
    </w:p>
    <w:p w14:paraId="4C512EA6" w14:textId="77777777" w:rsidR="00B56D11" w:rsidRPr="00BC658A" w:rsidRDefault="00B56D11" w:rsidP="00B56D11">
      <w:pPr>
        <w:pStyle w:val="Listeafsnit"/>
        <w:numPr>
          <w:ilvl w:val="0"/>
          <w:numId w:val="3"/>
        </w:numPr>
        <w:tabs>
          <w:tab w:val="clear" w:pos="454"/>
        </w:tabs>
        <w:rPr>
          <w:color w:val="auto"/>
        </w:rPr>
      </w:pPr>
      <w:r w:rsidRPr="00BC658A">
        <w:rPr>
          <w:color w:val="auto"/>
        </w:rPr>
        <w:t>Direkte omkostninger og indtægter til forskning og udvikling, for både interne og eksterne midler:</w:t>
      </w:r>
    </w:p>
    <w:p w14:paraId="617780B3" w14:textId="77777777" w:rsidR="00B56D11" w:rsidRPr="00BC658A" w:rsidRDefault="00B56D11" w:rsidP="00B56D11">
      <w:pPr>
        <w:pStyle w:val="Listeafsnit"/>
        <w:numPr>
          <w:ilvl w:val="1"/>
          <w:numId w:val="3"/>
        </w:numPr>
        <w:tabs>
          <w:tab w:val="clear" w:pos="454"/>
        </w:tabs>
        <w:rPr>
          <w:i/>
          <w:color w:val="auto"/>
          <w:u w:val="single"/>
        </w:rPr>
      </w:pPr>
      <w:r w:rsidRPr="00BC658A">
        <w:rPr>
          <w:i/>
          <w:color w:val="auto"/>
          <w:u w:val="single"/>
        </w:rPr>
        <w:t xml:space="preserve">Forskning jf. OECD’s definition i forbindelse med </w:t>
      </w:r>
      <w:proofErr w:type="spellStart"/>
      <w:r w:rsidRPr="00BC658A">
        <w:rPr>
          <w:i/>
          <w:color w:val="auto"/>
          <w:u w:val="single"/>
        </w:rPr>
        <w:t>Frascati</w:t>
      </w:r>
      <w:proofErr w:type="spellEnd"/>
      <w:r w:rsidRPr="00BC658A">
        <w:rPr>
          <w:i/>
          <w:color w:val="auto"/>
          <w:u w:val="single"/>
        </w:rPr>
        <w:t xml:space="preserve">-manualen: </w:t>
      </w:r>
    </w:p>
    <w:p w14:paraId="40915088" w14:textId="77777777" w:rsidR="00B56D11" w:rsidRPr="00BC658A" w:rsidRDefault="00B56D11" w:rsidP="00B56D11">
      <w:pPr>
        <w:pStyle w:val="Listeafsnit"/>
        <w:numPr>
          <w:ilvl w:val="1"/>
          <w:numId w:val="3"/>
        </w:numPr>
        <w:tabs>
          <w:tab w:val="clear" w:pos="454"/>
        </w:tabs>
        <w:rPr>
          <w:color w:val="auto"/>
        </w:rPr>
      </w:pPr>
      <w:r w:rsidRPr="00BC658A">
        <w:rPr>
          <w:color w:val="auto"/>
        </w:rPr>
        <w:t>Grundforskning: Eksperimenterende eller teoretisk arbejde med det primære formål at opnå ny viden og forståelse uden nogen bestemt anvendelse i sigte.</w:t>
      </w:r>
    </w:p>
    <w:p w14:paraId="21CB54C3" w14:textId="77777777" w:rsidR="00B56D11" w:rsidRPr="00BC658A" w:rsidRDefault="00B56D11" w:rsidP="00B56D11">
      <w:pPr>
        <w:pStyle w:val="Listeafsnit"/>
        <w:numPr>
          <w:ilvl w:val="1"/>
          <w:numId w:val="3"/>
        </w:numPr>
        <w:tabs>
          <w:tab w:val="clear" w:pos="454"/>
        </w:tabs>
        <w:rPr>
          <w:color w:val="auto"/>
        </w:rPr>
      </w:pPr>
      <w:r w:rsidRPr="00BC658A">
        <w:rPr>
          <w:color w:val="auto"/>
        </w:rPr>
        <w:t>Anvendt forskning: Eksperimenterende eller teoretisk arbejde med det formål at opnå ny viden og forståelse. Arbejdet er dog primært rettet mod bestemte anvendelsesområder.</w:t>
      </w:r>
    </w:p>
    <w:p w14:paraId="107F9123" w14:textId="77777777" w:rsidR="00B56D11" w:rsidRPr="00BC658A" w:rsidRDefault="00B56D11" w:rsidP="00B56D11">
      <w:pPr>
        <w:pStyle w:val="Listeafsnit"/>
        <w:numPr>
          <w:ilvl w:val="1"/>
          <w:numId w:val="3"/>
        </w:numPr>
        <w:tabs>
          <w:tab w:val="clear" w:pos="454"/>
        </w:tabs>
        <w:rPr>
          <w:color w:val="auto"/>
        </w:rPr>
      </w:pPr>
      <w:r w:rsidRPr="00BC658A">
        <w:rPr>
          <w:color w:val="auto"/>
        </w:rPr>
        <w:lastRenderedPageBreak/>
        <w:t>Udviklingsarbejde: Systematisk arbejde baseret på anvendelse af viden opnået gennem forskning og/eller praktisk erfaring med det formål at frembruge nye eller væsentlig forbedrede materialer, produkter, processer, systemer eller tjenesteydelser.</w:t>
      </w:r>
      <w:r>
        <w:rPr>
          <w:color w:val="auto"/>
        </w:rPr>
        <w:br/>
      </w:r>
    </w:p>
    <w:p w14:paraId="08EFAC75" w14:textId="77777777" w:rsidR="00B56D11" w:rsidRPr="00BC658A" w:rsidRDefault="00B56D11" w:rsidP="00B56D11">
      <w:pPr>
        <w:tabs>
          <w:tab w:val="clear" w:pos="454"/>
        </w:tabs>
        <w:rPr>
          <w:i/>
          <w:color w:val="auto"/>
          <w:u w:val="single"/>
        </w:rPr>
      </w:pPr>
      <w:r>
        <w:rPr>
          <w:i/>
          <w:color w:val="auto"/>
          <w:u w:val="single"/>
        </w:rPr>
        <w:br/>
      </w:r>
    </w:p>
    <w:p w14:paraId="6DB7B594" w14:textId="77777777" w:rsidR="00B56D11" w:rsidRPr="00BC658A" w:rsidRDefault="00B56D11" w:rsidP="00B56D11">
      <w:pPr>
        <w:pStyle w:val="Listeafsnit"/>
        <w:numPr>
          <w:ilvl w:val="0"/>
          <w:numId w:val="3"/>
        </w:numPr>
        <w:tabs>
          <w:tab w:val="clear" w:pos="454"/>
        </w:tabs>
        <w:rPr>
          <w:color w:val="auto"/>
        </w:rPr>
      </w:pPr>
      <w:r w:rsidRPr="00BC658A">
        <w:rPr>
          <w:color w:val="auto"/>
        </w:rPr>
        <w:t>Andet:</w:t>
      </w:r>
    </w:p>
    <w:p w14:paraId="3BBDEDFF" w14:textId="77777777" w:rsidR="00B56D11" w:rsidRPr="00BC658A" w:rsidRDefault="00B56D11" w:rsidP="00B56D11">
      <w:pPr>
        <w:pStyle w:val="Listeafsnit"/>
        <w:numPr>
          <w:ilvl w:val="1"/>
          <w:numId w:val="3"/>
        </w:numPr>
        <w:tabs>
          <w:tab w:val="clear" w:pos="454"/>
        </w:tabs>
        <w:rPr>
          <w:color w:val="auto"/>
        </w:rPr>
      </w:pPr>
      <w:r w:rsidRPr="00BC658A">
        <w:rPr>
          <w:color w:val="auto"/>
        </w:rPr>
        <w:t>Kunstnerisk udviklingsvirksomhed.</w:t>
      </w:r>
    </w:p>
    <w:p w14:paraId="0060139A" w14:textId="77777777" w:rsidR="00B56D11" w:rsidRPr="00BC658A" w:rsidRDefault="00B56D11" w:rsidP="00B56D11">
      <w:pPr>
        <w:pStyle w:val="Listeafsnit"/>
        <w:numPr>
          <w:ilvl w:val="1"/>
          <w:numId w:val="3"/>
        </w:numPr>
        <w:tabs>
          <w:tab w:val="clear" w:pos="454"/>
        </w:tabs>
        <w:rPr>
          <w:color w:val="auto"/>
        </w:rPr>
      </w:pPr>
      <w:r w:rsidRPr="00BC658A">
        <w:rPr>
          <w:color w:val="auto"/>
        </w:rPr>
        <w:t xml:space="preserve">Videnskabelig formidling af resultaterne af forsknings- og udviklingsaktiviteter, f.eks. tidsskriftartikler, som ikke kan adskilles mellem formidling og </w:t>
      </w:r>
      <w:r>
        <w:rPr>
          <w:color w:val="auto"/>
        </w:rPr>
        <w:t>forskning</w:t>
      </w:r>
      <w:r w:rsidRPr="00BC658A">
        <w:rPr>
          <w:color w:val="auto"/>
        </w:rPr>
        <w:t>.</w:t>
      </w:r>
    </w:p>
    <w:p w14:paraId="00DCA4C2" w14:textId="77777777" w:rsidR="00B56D11" w:rsidRPr="00BC658A" w:rsidRDefault="00B56D11" w:rsidP="00B56D11">
      <w:pPr>
        <w:pStyle w:val="Listeafsnit"/>
        <w:numPr>
          <w:ilvl w:val="1"/>
          <w:numId w:val="3"/>
        </w:numPr>
        <w:tabs>
          <w:tab w:val="clear" w:pos="454"/>
        </w:tabs>
        <w:rPr>
          <w:color w:val="auto"/>
        </w:rPr>
      </w:pPr>
      <w:r w:rsidRPr="00BC658A">
        <w:rPr>
          <w:color w:val="auto"/>
        </w:rPr>
        <w:t>Den del af den forskningsbaserede myndighedsbetjening, jf. formålet Myndighedsbetjening, rådgivning og øvrige ydelser, der vedrører sektorrelateret for</w:t>
      </w:r>
      <w:r>
        <w:rPr>
          <w:color w:val="auto"/>
        </w:rPr>
        <w:t>skning</w:t>
      </w:r>
      <w:r w:rsidRPr="00BC658A">
        <w:rPr>
          <w:color w:val="auto"/>
        </w:rPr>
        <w:t>.</w:t>
      </w:r>
      <w:r w:rsidRPr="00BC658A">
        <w:rPr>
          <w:color w:val="auto"/>
        </w:rPr>
        <w:br/>
      </w:r>
    </w:p>
    <w:p w14:paraId="2BA96798" w14:textId="77777777" w:rsidR="00B56D11" w:rsidRPr="00BC658A" w:rsidRDefault="00B56D11" w:rsidP="00B56D11">
      <w:pPr>
        <w:pStyle w:val="Listeafsnit"/>
        <w:numPr>
          <w:ilvl w:val="0"/>
          <w:numId w:val="3"/>
        </w:numPr>
        <w:tabs>
          <w:tab w:val="clear" w:pos="454"/>
        </w:tabs>
        <w:rPr>
          <w:color w:val="auto"/>
        </w:rPr>
      </w:pPr>
      <w:r w:rsidRPr="00BC658A">
        <w:rPr>
          <w:color w:val="auto"/>
        </w:rPr>
        <w:t>Indirekte omkostninger og indtægter til administration i tilknytning til forskning og udvikling, herunder forskningssupport, fundraising mv.:</w:t>
      </w:r>
    </w:p>
    <w:p w14:paraId="1CF7EE27" w14:textId="77777777" w:rsidR="00B56D11" w:rsidRPr="00BC658A" w:rsidRDefault="00B56D11" w:rsidP="00B56D11">
      <w:pPr>
        <w:pStyle w:val="Listeafsnit"/>
        <w:numPr>
          <w:ilvl w:val="1"/>
          <w:numId w:val="3"/>
        </w:numPr>
        <w:tabs>
          <w:tab w:val="clear" w:pos="454"/>
        </w:tabs>
        <w:rPr>
          <w:color w:val="auto"/>
        </w:rPr>
      </w:pPr>
      <w:r w:rsidRPr="00BC658A">
        <w:rPr>
          <w:color w:val="auto"/>
        </w:rPr>
        <w:t>Administration og ledelse på alle organisatoriske niveauer, der sker i tilknytning til forsknings- og udviklingsaktiviteter eller serviceringen af forskerne.</w:t>
      </w:r>
    </w:p>
    <w:p w14:paraId="6E78023E" w14:textId="77777777" w:rsidR="00B56D11" w:rsidRPr="00BC658A" w:rsidRDefault="00B56D11" w:rsidP="00B56D11">
      <w:pPr>
        <w:pStyle w:val="Listeafsnit"/>
        <w:numPr>
          <w:ilvl w:val="1"/>
          <w:numId w:val="3"/>
        </w:numPr>
        <w:tabs>
          <w:tab w:val="clear" w:pos="454"/>
        </w:tabs>
        <w:rPr>
          <w:color w:val="auto"/>
        </w:rPr>
      </w:pPr>
      <w:r w:rsidRPr="00BC658A">
        <w:rPr>
          <w:color w:val="auto"/>
        </w:rPr>
        <w:t>Forskningsplanlægning og strategiudvikling, herunder seminarer, publikationer, fundraising mv.</w:t>
      </w:r>
    </w:p>
    <w:p w14:paraId="0CFAE795" w14:textId="77777777" w:rsidR="00B56D11" w:rsidRPr="00BC658A" w:rsidRDefault="00B56D11" w:rsidP="00B56D11">
      <w:pPr>
        <w:pStyle w:val="Listeafsnit"/>
        <w:numPr>
          <w:ilvl w:val="1"/>
          <w:numId w:val="3"/>
        </w:numPr>
        <w:tabs>
          <w:tab w:val="clear" w:pos="454"/>
        </w:tabs>
        <w:rPr>
          <w:color w:val="auto"/>
        </w:rPr>
      </w:pPr>
      <w:r w:rsidRPr="00BC658A">
        <w:rPr>
          <w:color w:val="auto"/>
        </w:rPr>
        <w:t>Promovering af forskning og udvikling, planlægning af forsknings- og udviklingskonferencer.</w:t>
      </w:r>
    </w:p>
    <w:p w14:paraId="1092F7B4" w14:textId="77777777" w:rsidR="00B56D11" w:rsidRPr="00BC658A" w:rsidRDefault="00B56D11" w:rsidP="00B56D11">
      <w:pPr>
        <w:pStyle w:val="Listeafsnit"/>
        <w:numPr>
          <w:ilvl w:val="1"/>
          <w:numId w:val="3"/>
        </w:numPr>
        <w:tabs>
          <w:tab w:val="clear" w:pos="454"/>
        </w:tabs>
        <w:rPr>
          <w:color w:val="auto"/>
        </w:rPr>
      </w:pPr>
      <w:r w:rsidRPr="00BC658A">
        <w:rPr>
          <w:color w:val="auto"/>
        </w:rPr>
        <w:t>Sekretariatsbistand, projektadministration (samarbejdsaftaler, EU-kontrakter m.m.) og økonomisk opfølgning på projekter (uanset om denne opgave organisatorisk varetages af en central økonomifunktion).</w:t>
      </w:r>
    </w:p>
    <w:p w14:paraId="71356D2F" w14:textId="77777777" w:rsidR="00B56D11" w:rsidRPr="00BC658A" w:rsidRDefault="00B56D11" w:rsidP="00B56D11">
      <w:pPr>
        <w:pStyle w:val="Listeafsnit"/>
        <w:numPr>
          <w:ilvl w:val="1"/>
          <w:numId w:val="3"/>
        </w:numPr>
        <w:tabs>
          <w:tab w:val="clear" w:pos="454"/>
        </w:tabs>
        <w:rPr>
          <w:color w:val="auto"/>
        </w:rPr>
      </w:pPr>
      <w:r w:rsidRPr="00BC658A">
        <w:rPr>
          <w:color w:val="auto"/>
        </w:rPr>
        <w:t>Ph.d. studienævnssekretær.</w:t>
      </w:r>
    </w:p>
    <w:p w14:paraId="29AA9824" w14:textId="77777777" w:rsidR="00B56D11" w:rsidRPr="00BC658A" w:rsidRDefault="00B56D11" w:rsidP="00B56D11">
      <w:pPr>
        <w:pStyle w:val="Listeafsnit"/>
        <w:numPr>
          <w:ilvl w:val="1"/>
          <w:numId w:val="3"/>
        </w:numPr>
        <w:tabs>
          <w:tab w:val="clear" w:pos="454"/>
        </w:tabs>
        <w:rPr>
          <w:color w:val="auto"/>
        </w:rPr>
      </w:pPr>
      <w:r w:rsidRPr="00BC658A">
        <w:rPr>
          <w:color w:val="auto"/>
        </w:rPr>
        <w:t>Administration af forskeruddannelse og forskerskoler.</w:t>
      </w:r>
    </w:p>
    <w:p w14:paraId="109B5E7E" w14:textId="77777777" w:rsidR="00B56D11" w:rsidRPr="00BC658A" w:rsidRDefault="00B56D11" w:rsidP="00B56D11">
      <w:pPr>
        <w:pStyle w:val="Listeafsnit"/>
        <w:numPr>
          <w:ilvl w:val="1"/>
          <w:numId w:val="3"/>
        </w:numPr>
        <w:tabs>
          <w:tab w:val="clear" w:pos="454"/>
        </w:tabs>
        <w:rPr>
          <w:color w:val="auto"/>
        </w:rPr>
      </w:pPr>
      <w:r w:rsidRPr="00BC658A">
        <w:rPr>
          <w:color w:val="auto"/>
        </w:rPr>
        <w:t>Ansættelses- og bedømmelsesudvalg i relation til stillinger under formål 2. Forskning og udvikling.</w:t>
      </w:r>
    </w:p>
    <w:p w14:paraId="3384D134" w14:textId="77777777" w:rsidR="00B56D11" w:rsidRPr="00BC658A" w:rsidRDefault="00B56D11" w:rsidP="00B56D11">
      <w:pPr>
        <w:pStyle w:val="Listeafsnit"/>
        <w:numPr>
          <w:ilvl w:val="1"/>
          <w:numId w:val="3"/>
        </w:numPr>
        <w:tabs>
          <w:tab w:val="clear" w:pos="454"/>
        </w:tabs>
        <w:rPr>
          <w:color w:val="auto"/>
        </w:rPr>
      </w:pPr>
      <w:r w:rsidRPr="00BC658A">
        <w:rPr>
          <w:color w:val="auto"/>
        </w:rPr>
        <w:t>IT-udstyr og systemer vedrørende forskning og udvikling, når det entydigt og direkte kan henføres hertil.</w:t>
      </w:r>
    </w:p>
    <w:p w14:paraId="095A9208" w14:textId="77777777" w:rsidR="00B56D11" w:rsidRPr="00BC658A" w:rsidRDefault="00B56D11" w:rsidP="00B56D11">
      <w:pPr>
        <w:pStyle w:val="Listeafsnit"/>
        <w:ind w:left="0"/>
        <w:rPr>
          <w:color w:val="auto"/>
        </w:rPr>
      </w:pPr>
    </w:p>
    <w:p w14:paraId="72A10416" w14:textId="77777777" w:rsidR="00B56D11" w:rsidRPr="00BC658A" w:rsidRDefault="00B56D11" w:rsidP="00B56D11">
      <w:pPr>
        <w:rPr>
          <w:color w:val="auto"/>
        </w:rPr>
      </w:pPr>
    </w:p>
    <w:p w14:paraId="2626AF43" w14:textId="77777777" w:rsidR="00B56D11" w:rsidRPr="00BC658A" w:rsidRDefault="00B56D11" w:rsidP="00B56D11">
      <w:pPr>
        <w:pStyle w:val="Listeafsnit"/>
        <w:numPr>
          <w:ilvl w:val="1"/>
          <w:numId w:val="8"/>
        </w:numPr>
        <w:rPr>
          <w:b/>
          <w:color w:val="auto"/>
        </w:rPr>
      </w:pPr>
      <w:r w:rsidRPr="00BC658A">
        <w:rPr>
          <w:b/>
          <w:color w:val="auto"/>
        </w:rPr>
        <w:t xml:space="preserve">Formidling og </w:t>
      </w:r>
      <w:proofErr w:type="spellStart"/>
      <w:r w:rsidRPr="00BC658A">
        <w:rPr>
          <w:b/>
          <w:color w:val="auto"/>
        </w:rPr>
        <w:t>videnudveksling</w:t>
      </w:r>
      <w:proofErr w:type="spellEnd"/>
    </w:p>
    <w:p w14:paraId="351E6D24" w14:textId="77777777" w:rsidR="00B56D11" w:rsidRPr="00BC658A" w:rsidRDefault="00B56D11" w:rsidP="00B56D11">
      <w:pPr>
        <w:rPr>
          <w:color w:val="auto"/>
        </w:rPr>
      </w:pPr>
      <w:r w:rsidRPr="00BC658A">
        <w:rPr>
          <w:color w:val="auto"/>
        </w:rPr>
        <w:t xml:space="preserve">Formålet omfatter alle institutionens omkostninger og indtægter (sidstnævnte undtaget tilskud til almindelig virksomhed fra Styrelsen for Institutioner og Uddannelsesstøtte) til formidling og </w:t>
      </w:r>
      <w:proofErr w:type="spellStart"/>
      <w:r w:rsidRPr="00BC658A">
        <w:rPr>
          <w:color w:val="auto"/>
        </w:rPr>
        <w:t>videnudveksling</w:t>
      </w:r>
      <w:proofErr w:type="spellEnd"/>
      <w:r w:rsidRPr="00BC658A">
        <w:rPr>
          <w:color w:val="auto"/>
        </w:rPr>
        <w:t>.</w:t>
      </w:r>
    </w:p>
    <w:p w14:paraId="6B4DC2B6" w14:textId="77777777" w:rsidR="00B56D11" w:rsidRPr="00BC658A" w:rsidRDefault="00B56D11" w:rsidP="00B56D11">
      <w:pPr>
        <w:pStyle w:val="Listeafsnit"/>
        <w:ind w:left="432"/>
        <w:rPr>
          <w:color w:val="auto"/>
        </w:rPr>
      </w:pPr>
    </w:p>
    <w:p w14:paraId="2133A8A5" w14:textId="77777777" w:rsidR="00B56D11" w:rsidRPr="00BC658A" w:rsidRDefault="00B56D11" w:rsidP="00B56D11">
      <w:pPr>
        <w:rPr>
          <w:color w:val="auto"/>
        </w:rPr>
      </w:pPr>
      <w:r w:rsidRPr="00BC658A">
        <w:rPr>
          <w:color w:val="auto"/>
        </w:rPr>
        <w:t xml:space="preserve">Aktiviteter vedrørende formidling og </w:t>
      </w:r>
      <w:proofErr w:type="spellStart"/>
      <w:r w:rsidRPr="00BC658A">
        <w:rPr>
          <w:color w:val="auto"/>
        </w:rPr>
        <w:t>videnudveksling</w:t>
      </w:r>
      <w:proofErr w:type="spellEnd"/>
      <w:r w:rsidRPr="00BC658A">
        <w:t xml:space="preserve"> </w:t>
      </w:r>
      <w:r w:rsidRPr="00BC658A">
        <w:rPr>
          <w:color w:val="auto"/>
        </w:rPr>
        <w:t xml:space="preserve">følger nedenfor. Listen indeholder aktiviteter, der skal registreres på ’Formål 3. Formidling og </w:t>
      </w:r>
      <w:proofErr w:type="spellStart"/>
      <w:r w:rsidRPr="00BC658A">
        <w:rPr>
          <w:color w:val="auto"/>
        </w:rPr>
        <w:t>videnudveksling</w:t>
      </w:r>
      <w:proofErr w:type="spellEnd"/>
      <w:r w:rsidRPr="00BC658A">
        <w:rPr>
          <w:color w:val="auto"/>
        </w:rPr>
        <w:t xml:space="preserve">. Det er ikke obligatorisk at registrere indtægter og omkostninger på delformål i institutionens økonomisystem, men hvis institutionen ønsker dette, skal styrelsens nummerstruktur for registrering af delformål anvendes. Listen er tilgængelig på UFM.dk </w:t>
      </w:r>
      <w:r w:rsidRPr="00BC658A">
        <w:rPr>
          <w:rStyle w:val="Kommentarhenvisning"/>
          <w:color w:val="auto"/>
        </w:rPr>
        <w:t>[linket indsættes her].</w:t>
      </w:r>
    </w:p>
    <w:p w14:paraId="55D98467" w14:textId="77777777" w:rsidR="00B56D11" w:rsidRPr="00BC658A" w:rsidRDefault="00B56D11" w:rsidP="00B56D11">
      <w:pPr>
        <w:pStyle w:val="Listeafsnit"/>
        <w:rPr>
          <w:color w:val="auto"/>
        </w:rPr>
      </w:pPr>
    </w:p>
    <w:p w14:paraId="14B941AE" w14:textId="77777777" w:rsidR="00B56D11" w:rsidRPr="00BC658A" w:rsidRDefault="00B56D11" w:rsidP="00B56D11">
      <w:pPr>
        <w:pStyle w:val="Listeafsnit"/>
        <w:ind w:left="0"/>
        <w:rPr>
          <w:color w:val="auto"/>
        </w:rPr>
      </w:pPr>
      <w:r w:rsidRPr="00BC658A">
        <w:rPr>
          <w:color w:val="auto"/>
        </w:rPr>
        <w:t xml:space="preserve">Aktiviteter vedrørende formidling og </w:t>
      </w:r>
      <w:proofErr w:type="spellStart"/>
      <w:r w:rsidRPr="00BC658A">
        <w:rPr>
          <w:color w:val="auto"/>
        </w:rPr>
        <w:t>videnudveksling</w:t>
      </w:r>
      <w:proofErr w:type="spellEnd"/>
      <w:r w:rsidRPr="00BC658A">
        <w:rPr>
          <w:color w:val="auto"/>
        </w:rPr>
        <w:t>:</w:t>
      </w:r>
    </w:p>
    <w:p w14:paraId="22197705" w14:textId="77777777" w:rsidR="00B56D11" w:rsidRPr="00BC658A" w:rsidRDefault="00B56D11" w:rsidP="00B56D11">
      <w:pPr>
        <w:pStyle w:val="Listeafsnit"/>
        <w:ind w:left="0"/>
        <w:rPr>
          <w:color w:val="auto"/>
        </w:rPr>
      </w:pPr>
    </w:p>
    <w:p w14:paraId="45F7C73E" w14:textId="77777777" w:rsidR="00B56D11" w:rsidRPr="00BC658A" w:rsidRDefault="00B56D11" w:rsidP="00B56D11">
      <w:pPr>
        <w:pStyle w:val="Opstilling-punkttegn"/>
        <w:numPr>
          <w:ilvl w:val="0"/>
          <w:numId w:val="3"/>
        </w:numPr>
        <w:spacing w:after="0"/>
        <w:rPr>
          <w:color w:val="auto"/>
        </w:rPr>
      </w:pPr>
      <w:bookmarkStart w:id="14" w:name="_Toc514319632"/>
      <w:bookmarkStart w:id="15" w:name="_Toc514319633"/>
      <w:bookmarkStart w:id="16" w:name="_Toc514319634"/>
      <w:bookmarkStart w:id="17" w:name="_Toc514319635"/>
      <w:bookmarkStart w:id="18" w:name="_Toc514319636"/>
      <w:bookmarkStart w:id="19" w:name="_Toc514319637"/>
      <w:bookmarkStart w:id="20" w:name="_Toc514319638"/>
      <w:bookmarkStart w:id="21" w:name="_Toc514319639"/>
      <w:bookmarkStart w:id="22" w:name="_Toc514319640"/>
      <w:bookmarkStart w:id="23" w:name="_Toc514319641"/>
      <w:bookmarkStart w:id="24" w:name="_Toc514319664"/>
      <w:bookmarkStart w:id="25" w:name="_Toc514319665"/>
      <w:bookmarkStart w:id="26" w:name="_Toc514319666"/>
      <w:bookmarkStart w:id="27" w:name="_Toc514319667"/>
      <w:bookmarkStart w:id="28" w:name="_Toc514319668"/>
      <w:bookmarkStart w:id="29" w:name="_Toc514319669"/>
      <w:bookmarkStart w:id="30" w:name="_Toc514319670"/>
      <w:bookmarkStart w:id="31" w:name="_Toc514319671"/>
      <w:bookmarkStart w:id="32" w:name="_Toc514319672"/>
      <w:bookmarkStart w:id="33" w:name="_Toc514319673"/>
      <w:bookmarkStart w:id="34" w:name="_Toc514319674"/>
      <w:bookmarkStart w:id="35" w:name="_Toc514319675"/>
      <w:bookmarkStart w:id="36" w:name="_Toc514319676"/>
      <w:bookmarkStart w:id="37" w:name="_Toc514319677"/>
      <w:bookmarkStart w:id="38" w:name="_Toc514319678"/>
      <w:bookmarkStart w:id="39" w:name="_Toc514319679"/>
      <w:bookmarkStart w:id="40" w:name="_Toc514319680"/>
      <w:bookmarkStart w:id="41" w:name="_Toc514319681"/>
      <w:bookmarkStart w:id="42" w:name="_Toc514319682"/>
      <w:bookmarkStart w:id="43" w:name="_Toc514319683"/>
      <w:bookmarkStart w:id="44" w:name="_Toc514319684"/>
      <w:bookmarkStart w:id="45" w:name="_Toc514319685"/>
      <w:bookmarkStart w:id="46" w:name="_Toc514319686"/>
      <w:bookmarkStart w:id="47" w:name="_Toc514319687"/>
      <w:bookmarkStart w:id="48" w:name="_Toc514319688"/>
      <w:bookmarkStart w:id="49" w:name="_Toc514319689"/>
      <w:bookmarkStart w:id="50" w:name="_Toc514319690"/>
      <w:bookmarkStart w:id="51" w:name="_Toc514319691"/>
      <w:bookmarkStart w:id="52" w:name="_Toc514319692"/>
      <w:bookmarkStart w:id="53" w:name="_Toc514319693"/>
      <w:bookmarkStart w:id="54" w:name="_Toc514319694"/>
      <w:bookmarkStart w:id="55" w:name="_Toc514319695"/>
      <w:bookmarkStart w:id="56" w:name="_Toc514319696"/>
      <w:bookmarkStart w:id="57" w:name="_Toc514319697"/>
      <w:bookmarkStart w:id="58" w:name="_Toc514319698"/>
      <w:bookmarkStart w:id="59" w:name="_Toc514319699"/>
      <w:bookmarkStart w:id="60" w:name="_Toc514319700"/>
      <w:bookmarkStart w:id="61" w:name="_Toc514319701"/>
      <w:bookmarkStart w:id="62" w:name="_Toc514319702"/>
      <w:bookmarkStart w:id="63" w:name="_Toc514319703"/>
      <w:bookmarkStart w:id="64" w:name="_Toc514319704"/>
      <w:bookmarkStart w:id="65" w:name="_Toc514319705"/>
      <w:bookmarkStart w:id="66" w:name="_Toc514319706"/>
      <w:bookmarkStart w:id="67" w:name="_Toc514319708"/>
      <w:bookmarkStart w:id="68" w:name="_Toc514319709"/>
      <w:bookmarkStart w:id="69" w:name="_Toc514319710"/>
      <w:bookmarkStart w:id="70" w:name="_Toc514319711"/>
      <w:bookmarkStart w:id="71" w:name="_Toc514319712"/>
      <w:bookmarkStart w:id="72" w:name="_Toc514319713"/>
      <w:bookmarkStart w:id="73" w:name="_Toc514319714"/>
      <w:bookmarkStart w:id="74" w:name="_Toc514319715"/>
      <w:bookmarkStart w:id="75" w:name="_Toc514319716"/>
      <w:bookmarkStart w:id="76" w:name="_Toc514319717"/>
      <w:bookmarkStart w:id="77" w:name="_Toc514319744"/>
      <w:bookmarkStart w:id="78" w:name="_Toc514319745"/>
      <w:bookmarkStart w:id="79" w:name="_Toc514319746"/>
      <w:bookmarkStart w:id="80" w:name="_Toc514319747"/>
      <w:bookmarkStart w:id="81" w:name="_Toc514319748"/>
      <w:bookmarkStart w:id="82" w:name="_Toc514319749"/>
      <w:bookmarkStart w:id="83" w:name="_Toc514319750"/>
      <w:bookmarkStart w:id="84" w:name="_Toc514319751"/>
      <w:bookmarkStart w:id="85" w:name="_Toc514319752"/>
      <w:bookmarkStart w:id="86" w:name="_Toc514319753"/>
      <w:bookmarkStart w:id="87" w:name="_Toc514319754"/>
      <w:bookmarkStart w:id="88" w:name="_Toc514319755"/>
      <w:bookmarkStart w:id="89" w:name="_Toc514319756"/>
      <w:bookmarkStart w:id="90" w:name="_Toc514319757"/>
      <w:bookmarkStart w:id="91" w:name="_Toc514319758"/>
      <w:bookmarkStart w:id="92" w:name="_Toc514319759"/>
      <w:bookmarkStart w:id="93" w:name="_Toc514319760"/>
      <w:bookmarkStart w:id="94" w:name="_Toc514319761"/>
      <w:bookmarkStart w:id="95" w:name="_Toc514319762"/>
      <w:bookmarkStart w:id="96" w:name="_Toc514319763"/>
      <w:bookmarkStart w:id="97" w:name="_Toc514319764"/>
      <w:bookmarkStart w:id="98" w:name="_Toc514319765"/>
      <w:bookmarkStart w:id="99" w:name="_Toc514319766"/>
      <w:bookmarkStart w:id="100" w:name="_Toc514319767"/>
      <w:bookmarkStart w:id="101" w:name="_Toc514319768"/>
      <w:bookmarkStart w:id="102" w:name="_Toc514319769"/>
      <w:bookmarkStart w:id="103" w:name="_Toc514319770"/>
      <w:bookmarkStart w:id="104" w:name="_Toc514319771"/>
      <w:bookmarkStart w:id="105" w:name="_Toc514319772"/>
      <w:bookmarkStart w:id="106" w:name="_Toc514319773"/>
      <w:bookmarkStart w:id="107" w:name="_Toc514319774"/>
      <w:bookmarkStart w:id="108" w:name="_Toc514319775"/>
      <w:bookmarkStart w:id="109" w:name="_Toc514319776"/>
      <w:bookmarkStart w:id="110" w:name="_Toc514319777"/>
      <w:bookmarkStart w:id="111" w:name="_Toc514319778"/>
      <w:bookmarkStart w:id="112" w:name="_Toc514319779"/>
      <w:bookmarkStart w:id="113" w:name="_Toc514319780"/>
      <w:bookmarkStart w:id="114" w:name="_Toc514319781"/>
      <w:bookmarkStart w:id="115" w:name="_Toc514319782"/>
      <w:bookmarkStart w:id="116" w:name="_Toc514319783"/>
      <w:bookmarkStart w:id="117" w:name="_Toc514319784"/>
      <w:bookmarkStart w:id="118" w:name="_Toc514319785"/>
      <w:bookmarkStart w:id="119" w:name="_Toc514319786"/>
      <w:bookmarkStart w:id="120" w:name="_Toc514319787"/>
      <w:bookmarkStart w:id="121" w:name="_Toc514319788"/>
      <w:bookmarkStart w:id="122" w:name="_Toc514319789"/>
      <w:bookmarkStart w:id="123" w:name="_Toc51431979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C658A">
        <w:rPr>
          <w:color w:val="auto"/>
        </w:rPr>
        <w:t>Museer og permanente samlinger, som hører under institutionen.</w:t>
      </w:r>
    </w:p>
    <w:p w14:paraId="4DA379DA" w14:textId="77777777" w:rsidR="00B56D11" w:rsidRPr="00BC658A" w:rsidRDefault="00B56D11" w:rsidP="00B56D11">
      <w:pPr>
        <w:pStyle w:val="Opstilling-punkttegn"/>
        <w:numPr>
          <w:ilvl w:val="0"/>
          <w:numId w:val="3"/>
        </w:numPr>
        <w:tabs>
          <w:tab w:val="left" w:pos="426"/>
        </w:tabs>
        <w:spacing w:after="0"/>
        <w:rPr>
          <w:color w:val="auto"/>
        </w:rPr>
      </w:pPr>
      <w:r w:rsidRPr="00BC658A">
        <w:rPr>
          <w:color w:val="auto"/>
        </w:rPr>
        <w:t>Biblioteker som hører under institutionen (inkl. national biblioteksservice)</w:t>
      </w:r>
    </w:p>
    <w:p w14:paraId="1386825B" w14:textId="77777777" w:rsidR="00B56D11" w:rsidRPr="00BC658A" w:rsidRDefault="00B56D11" w:rsidP="00B56D11">
      <w:pPr>
        <w:pStyle w:val="Listeafsnit"/>
        <w:numPr>
          <w:ilvl w:val="0"/>
          <w:numId w:val="3"/>
        </w:numPr>
        <w:rPr>
          <w:color w:val="auto"/>
        </w:rPr>
      </w:pPr>
      <w:r w:rsidRPr="00BC658A">
        <w:rPr>
          <w:color w:val="auto"/>
        </w:rPr>
        <w:t>Forlagsvirksomhed på institutionen. Formålet omfatter ikke den enkelte videnskabelige medarbejders publicering.</w:t>
      </w:r>
    </w:p>
    <w:p w14:paraId="2A438E96" w14:textId="77777777" w:rsidR="00B56D11" w:rsidRPr="00BC658A" w:rsidRDefault="00B56D11" w:rsidP="00B56D11">
      <w:pPr>
        <w:pStyle w:val="Listeafsnit"/>
        <w:numPr>
          <w:ilvl w:val="0"/>
          <w:numId w:val="3"/>
        </w:numPr>
        <w:rPr>
          <w:color w:val="auto"/>
        </w:rPr>
      </w:pPr>
      <w:r w:rsidRPr="00BC658A">
        <w:rPr>
          <w:color w:val="auto"/>
        </w:rPr>
        <w:t xml:space="preserve">Center for Undervisningsmidler, i henhold til LBK nr. 879 af 08/08/2011. </w:t>
      </w:r>
    </w:p>
    <w:p w14:paraId="7CC1ECCD" w14:textId="77777777" w:rsidR="00B56D11" w:rsidRPr="00BC658A" w:rsidRDefault="00B56D11" w:rsidP="00B56D11">
      <w:pPr>
        <w:pStyle w:val="Listeafsnit"/>
        <w:numPr>
          <w:ilvl w:val="1"/>
          <w:numId w:val="3"/>
        </w:numPr>
        <w:rPr>
          <w:color w:val="auto"/>
        </w:rPr>
      </w:pPr>
      <w:r w:rsidRPr="00BC658A">
        <w:rPr>
          <w:color w:val="auto"/>
        </w:rPr>
        <w:lastRenderedPageBreak/>
        <w:t>Etablere og drive en samling af undervisningsmidler beregnet til udlån til undervisningsinstitutioner, sørge for information og yde rådgivning og vejledning til lærere m.fl. om undervisningsmidler og deres anvendelse samt yde bistand til lærere ved fremstilling af undervisningsmidler til eget brug, samt kursusvirksomhed over for undervisningsinstitutioner m.fl. samt pædagogisk og teknisk rådgivning og vejledning til undervisningsinstitutionernes brug onlinekurser, e-læring mv.</w:t>
      </w:r>
    </w:p>
    <w:p w14:paraId="36A66C49" w14:textId="77777777" w:rsidR="00B56D11" w:rsidRPr="00BC658A" w:rsidRDefault="00B56D11" w:rsidP="00B56D11">
      <w:pPr>
        <w:pStyle w:val="Opstilling-punkttegn"/>
        <w:numPr>
          <w:ilvl w:val="0"/>
          <w:numId w:val="3"/>
        </w:numPr>
        <w:spacing w:after="0"/>
        <w:rPr>
          <w:color w:val="auto"/>
        </w:rPr>
      </w:pPr>
      <w:r w:rsidRPr="00BC658A">
        <w:rPr>
          <w:color w:val="auto"/>
        </w:rPr>
        <w:t>Teknologioverførsel (</w:t>
      </w:r>
      <w:proofErr w:type="spellStart"/>
      <w:r w:rsidRPr="00BC658A">
        <w:rPr>
          <w:color w:val="auto"/>
        </w:rPr>
        <w:t>tech</w:t>
      </w:r>
      <w:proofErr w:type="spellEnd"/>
      <w:r w:rsidRPr="00BC658A">
        <w:rPr>
          <w:color w:val="auto"/>
        </w:rPr>
        <w:t xml:space="preserve"> trans) </w:t>
      </w:r>
    </w:p>
    <w:p w14:paraId="2994F115" w14:textId="77777777" w:rsidR="00B56D11" w:rsidRPr="00BC658A" w:rsidRDefault="00B56D11" w:rsidP="00B56D11">
      <w:pPr>
        <w:pStyle w:val="Opstilling-punkttegn"/>
        <w:numPr>
          <w:ilvl w:val="1"/>
          <w:numId w:val="3"/>
        </w:numPr>
        <w:spacing w:after="0"/>
        <w:rPr>
          <w:color w:val="auto"/>
        </w:rPr>
      </w:pPr>
      <w:r w:rsidRPr="00BC658A">
        <w:rPr>
          <w:color w:val="auto"/>
        </w:rPr>
        <w:t>Patenter, rettigheder og kommerciel udnyttelse af egne produkter. Hertil undersøgelse af markedspotentiale sikring af rettigheder samt markedsføring af goder (materielle eller immaterielle), som helt eller delvist er resultatet af institutionens egen produktion. Herunder medtages ressourceforbrug til teknologioverførselsenheder.</w:t>
      </w:r>
    </w:p>
    <w:p w14:paraId="51F16DD2" w14:textId="77777777" w:rsidR="00B56D11" w:rsidRPr="00BC658A" w:rsidRDefault="00B56D11" w:rsidP="00B56D11">
      <w:pPr>
        <w:pStyle w:val="Opstilling-punkttegn"/>
        <w:numPr>
          <w:ilvl w:val="0"/>
          <w:numId w:val="3"/>
        </w:numPr>
        <w:spacing w:after="0"/>
        <w:rPr>
          <w:color w:val="auto"/>
        </w:rPr>
      </w:pPr>
      <w:r w:rsidRPr="00BC658A">
        <w:rPr>
          <w:color w:val="auto"/>
        </w:rPr>
        <w:t>Udstillingsvirksomhed</w:t>
      </w:r>
    </w:p>
    <w:p w14:paraId="360EFE29" w14:textId="77777777" w:rsidR="00B56D11" w:rsidRPr="00BC658A" w:rsidRDefault="00B56D11" w:rsidP="00B56D11">
      <w:pPr>
        <w:pStyle w:val="Opstilling-punkttegn"/>
        <w:numPr>
          <w:ilvl w:val="1"/>
          <w:numId w:val="3"/>
        </w:numPr>
        <w:spacing w:after="0"/>
        <w:rPr>
          <w:color w:val="auto"/>
        </w:rPr>
      </w:pPr>
      <w:r w:rsidRPr="00BC658A">
        <w:rPr>
          <w:color w:val="auto"/>
        </w:rPr>
        <w:t>Afholdelse af udstillinger, som har midlertidig karakter, og som udspringer af andre enheder end museer og permanente samlinger.</w:t>
      </w:r>
    </w:p>
    <w:p w14:paraId="783941CF" w14:textId="77777777" w:rsidR="00B56D11" w:rsidRPr="00BC658A" w:rsidRDefault="00B56D11" w:rsidP="00B56D11">
      <w:pPr>
        <w:pStyle w:val="Opstilling-punkttegn"/>
        <w:numPr>
          <w:ilvl w:val="0"/>
          <w:numId w:val="3"/>
        </w:numPr>
        <w:spacing w:after="0"/>
        <w:rPr>
          <w:color w:val="auto"/>
        </w:rPr>
      </w:pPr>
      <w:r w:rsidRPr="00BC658A">
        <w:rPr>
          <w:color w:val="auto"/>
        </w:rPr>
        <w:t>Forskningens døgn</w:t>
      </w:r>
    </w:p>
    <w:p w14:paraId="479E9703" w14:textId="77777777" w:rsidR="00B56D11" w:rsidRPr="00BC658A" w:rsidRDefault="00B56D11" w:rsidP="00B56D11">
      <w:pPr>
        <w:pStyle w:val="Opstilling-punkttegn"/>
        <w:numPr>
          <w:ilvl w:val="0"/>
          <w:numId w:val="3"/>
        </w:numPr>
        <w:spacing w:after="0"/>
        <w:rPr>
          <w:color w:val="auto"/>
        </w:rPr>
      </w:pPr>
      <w:r w:rsidRPr="00BC658A">
        <w:rPr>
          <w:color w:val="auto"/>
        </w:rPr>
        <w:t xml:space="preserve">Indirekte omkostninger og indtægter til administration i tilknytning til formidling og </w:t>
      </w:r>
      <w:proofErr w:type="spellStart"/>
      <w:r w:rsidRPr="00BC658A">
        <w:rPr>
          <w:color w:val="auto"/>
        </w:rPr>
        <w:t>videnudveksling</w:t>
      </w:r>
      <w:proofErr w:type="spellEnd"/>
    </w:p>
    <w:p w14:paraId="2A142ED3" w14:textId="77777777" w:rsidR="00B56D11" w:rsidRPr="00BC658A" w:rsidRDefault="00B56D11" w:rsidP="00B56D11">
      <w:pPr>
        <w:pStyle w:val="Opstilling-punkttegn"/>
        <w:numPr>
          <w:ilvl w:val="0"/>
          <w:numId w:val="3"/>
        </w:numPr>
        <w:spacing w:after="0"/>
        <w:rPr>
          <w:color w:val="auto"/>
        </w:rPr>
      </w:pPr>
      <w:r w:rsidRPr="00BC658A">
        <w:rPr>
          <w:color w:val="auto"/>
        </w:rPr>
        <w:t xml:space="preserve">IT-udstyr og systemer vedrørende formidling og </w:t>
      </w:r>
      <w:proofErr w:type="spellStart"/>
      <w:r w:rsidRPr="00BC658A">
        <w:rPr>
          <w:color w:val="auto"/>
        </w:rPr>
        <w:t>videnudveksling</w:t>
      </w:r>
      <w:proofErr w:type="spellEnd"/>
      <w:r w:rsidRPr="00BC658A">
        <w:rPr>
          <w:color w:val="auto"/>
        </w:rPr>
        <w:t>, når det entydigt og direkte kan henføres hertil.</w:t>
      </w:r>
    </w:p>
    <w:p w14:paraId="63551B3C" w14:textId="77777777" w:rsidR="00B56D11" w:rsidRPr="00BC658A" w:rsidRDefault="00B56D11" w:rsidP="00B56D11">
      <w:pPr>
        <w:tabs>
          <w:tab w:val="left" w:pos="426"/>
        </w:tabs>
        <w:rPr>
          <w:color w:val="auto"/>
        </w:rPr>
      </w:pPr>
    </w:p>
    <w:p w14:paraId="5302AAAE" w14:textId="77777777" w:rsidR="00B56D11" w:rsidRPr="00BC658A" w:rsidRDefault="00B56D11" w:rsidP="00B56D11">
      <w:pPr>
        <w:tabs>
          <w:tab w:val="left" w:pos="426"/>
        </w:tabs>
        <w:rPr>
          <w:color w:val="auto"/>
        </w:rPr>
      </w:pPr>
      <w:r w:rsidRPr="00BC658A">
        <w:rPr>
          <w:color w:val="auto"/>
        </w:rPr>
        <w:t xml:space="preserve">Formålet omfatter således ikke den generelle formidling og </w:t>
      </w:r>
      <w:proofErr w:type="spellStart"/>
      <w:r w:rsidRPr="00BC658A">
        <w:rPr>
          <w:color w:val="auto"/>
        </w:rPr>
        <w:t>videnudveksling</w:t>
      </w:r>
      <w:proofErr w:type="spellEnd"/>
      <w:r w:rsidRPr="00BC658A">
        <w:rPr>
          <w:color w:val="auto"/>
        </w:rPr>
        <w:t xml:space="preserve">, der sker gennem uddannelsen af studerende, forskningspublikationer o.l. og myndighedsrådgivning. Disse omkostninger opgøres på de respektive andre formål. </w:t>
      </w:r>
    </w:p>
    <w:p w14:paraId="285AC5E8" w14:textId="77777777" w:rsidR="00B56D11" w:rsidRPr="00BC658A" w:rsidRDefault="00B56D11" w:rsidP="00B56D11">
      <w:pPr>
        <w:tabs>
          <w:tab w:val="left" w:pos="426"/>
        </w:tabs>
        <w:rPr>
          <w:color w:val="auto"/>
        </w:rPr>
      </w:pPr>
    </w:p>
    <w:p w14:paraId="3D670FF3" w14:textId="77777777" w:rsidR="00B56D11" w:rsidRPr="00BC658A" w:rsidRDefault="00B56D11" w:rsidP="00B56D11">
      <w:pPr>
        <w:tabs>
          <w:tab w:val="left" w:pos="426"/>
        </w:tabs>
        <w:rPr>
          <w:color w:val="auto"/>
        </w:rPr>
      </w:pPr>
    </w:p>
    <w:p w14:paraId="35DBBFBC" w14:textId="77777777" w:rsidR="00B56D11" w:rsidRPr="00BC658A" w:rsidRDefault="00B56D11" w:rsidP="00B56D11">
      <w:pPr>
        <w:tabs>
          <w:tab w:val="left" w:pos="426"/>
        </w:tabs>
        <w:rPr>
          <w:color w:val="auto"/>
        </w:rPr>
      </w:pPr>
    </w:p>
    <w:p w14:paraId="4A575CB3" w14:textId="77777777" w:rsidR="00B56D11" w:rsidRPr="00BC658A" w:rsidRDefault="00B56D11" w:rsidP="00B56D11">
      <w:pPr>
        <w:tabs>
          <w:tab w:val="left" w:pos="426"/>
        </w:tabs>
        <w:rPr>
          <w:color w:val="auto"/>
        </w:rPr>
      </w:pPr>
    </w:p>
    <w:p w14:paraId="148C0ADC" w14:textId="77777777" w:rsidR="00B56D11" w:rsidRPr="00BC658A" w:rsidRDefault="00B56D11" w:rsidP="00B56D11">
      <w:pPr>
        <w:pStyle w:val="Listeafsnit"/>
        <w:numPr>
          <w:ilvl w:val="1"/>
          <w:numId w:val="8"/>
        </w:numPr>
        <w:rPr>
          <w:b/>
          <w:color w:val="auto"/>
        </w:rPr>
      </w:pPr>
      <w:r w:rsidRPr="00BC658A">
        <w:rPr>
          <w:b/>
          <w:color w:val="auto"/>
        </w:rPr>
        <w:t xml:space="preserve">Formål myndighedsbetjening, rådgivning og øvrige ydelser </w:t>
      </w:r>
    </w:p>
    <w:p w14:paraId="5B894681" w14:textId="77777777" w:rsidR="00B56D11" w:rsidRPr="00BC658A" w:rsidRDefault="00B56D11" w:rsidP="00B56D11">
      <w:pPr>
        <w:rPr>
          <w:color w:val="auto"/>
        </w:rPr>
      </w:pPr>
      <w:r w:rsidRPr="00BC658A">
        <w:rPr>
          <w:color w:val="auto"/>
        </w:rPr>
        <w:t>Formålet omfatter alle institutionens omkostninger og indtægter (sidstnævnte undtaget tilskud til almindelig virksomhed fra Styrelsen og Institutioner og Uddannelsesstøtte) til myndighedsbetjening, rådgivning og øvrige ydelser.</w:t>
      </w:r>
    </w:p>
    <w:p w14:paraId="3C629FA0" w14:textId="77777777" w:rsidR="00B56D11" w:rsidRPr="00BC658A" w:rsidRDefault="00B56D11" w:rsidP="00B56D11">
      <w:pPr>
        <w:pStyle w:val="Listeafsnit"/>
        <w:ind w:left="432"/>
        <w:rPr>
          <w:color w:val="auto"/>
        </w:rPr>
      </w:pPr>
    </w:p>
    <w:p w14:paraId="2E929205" w14:textId="77777777" w:rsidR="00B56D11" w:rsidRPr="00BC658A" w:rsidRDefault="00B56D11" w:rsidP="00B56D11">
      <w:pPr>
        <w:pStyle w:val="Listeafsnit"/>
        <w:ind w:left="0"/>
        <w:rPr>
          <w:color w:val="auto"/>
        </w:rPr>
      </w:pPr>
      <w:r w:rsidRPr="00BC658A">
        <w:rPr>
          <w:color w:val="auto"/>
        </w:rPr>
        <w:t>Aktiviteter vedrørende myndighedsbetjening, rådgivning og øvrige ydelser følger nedenfor. Listen indeholder aktiviteter, der skal registreres på ’</w:t>
      </w:r>
      <w:r w:rsidRPr="00BC658A">
        <w:rPr>
          <w:i/>
          <w:color w:val="auto"/>
        </w:rPr>
        <w:t>Formål 4. Myndighedsbetjening, rådgivning og øvrige ydelser’</w:t>
      </w:r>
      <w:r w:rsidRPr="00BC658A">
        <w:rPr>
          <w:color w:val="auto"/>
        </w:rPr>
        <w:t>. Det er ikke obligatorisk at registrere indtægter og omkostninger på delformål i institutionens økonomisystem, men hvis institutionen ønsker dette, skal styrelsens nummerstruktur for registrering af delformål anvendes. Listen er tilgængelig på UFM.dk [linket indsættes her].</w:t>
      </w:r>
    </w:p>
    <w:p w14:paraId="47F89BF0" w14:textId="77777777" w:rsidR="00B56D11" w:rsidRPr="00BC658A" w:rsidRDefault="00B56D11" w:rsidP="00B56D11">
      <w:pPr>
        <w:pStyle w:val="Listeafsnit"/>
        <w:ind w:left="0"/>
        <w:rPr>
          <w:color w:val="auto"/>
        </w:rPr>
      </w:pPr>
    </w:p>
    <w:p w14:paraId="27832307" w14:textId="77777777" w:rsidR="00B56D11" w:rsidRPr="00BC658A" w:rsidRDefault="00B56D11" w:rsidP="00B56D11">
      <w:pPr>
        <w:pStyle w:val="Listeafsnit"/>
        <w:ind w:left="0"/>
        <w:rPr>
          <w:color w:val="auto"/>
        </w:rPr>
      </w:pPr>
      <w:r w:rsidRPr="00BC658A">
        <w:rPr>
          <w:color w:val="auto"/>
        </w:rPr>
        <w:t>Aktiviteter i relation til myndighedsbetjening, rådgivning og øvrige ydelser:</w:t>
      </w:r>
    </w:p>
    <w:p w14:paraId="6CE3790A" w14:textId="77777777" w:rsidR="00B56D11" w:rsidRPr="00BC658A" w:rsidRDefault="00B56D11" w:rsidP="00B56D11">
      <w:pPr>
        <w:pStyle w:val="Listeafsnit"/>
        <w:ind w:left="0"/>
        <w:rPr>
          <w:color w:val="auto"/>
        </w:rPr>
      </w:pPr>
    </w:p>
    <w:p w14:paraId="6DA768FE" w14:textId="77777777" w:rsidR="00B56D11" w:rsidRPr="00BC658A" w:rsidRDefault="00B56D11" w:rsidP="00B56D11">
      <w:pPr>
        <w:pStyle w:val="Opstilling-punkttegn"/>
        <w:numPr>
          <w:ilvl w:val="0"/>
          <w:numId w:val="3"/>
        </w:numPr>
        <w:spacing w:after="0"/>
        <w:rPr>
          <w:rFonts w:cs="Georgia"/>
          <w:i/>
          <w:color w:val="auto"/>
          <w:u w:val="single"/>
        </w:rPr>
      </w:pPr>
      <w:r w:rsidRPr="00BC658A">
        <w:rPr>
          <w:rFonts w:cs="Georgia"/>
          <w:i/>
          <w:color w:val="auto"/>
          <w:u w:val="single"/>
        </w:rPr>
        <w:t>Forskningsbaseret myndighedsbetjening omfatter omkostninger til myndighedsbetjeningsopgaver</w:t>
      </w:r>
      <w:r>
        <w:rPr>
          <w:rFonts w:cs="Georgia"/>
          <w:i/>
          <w:color w:val="auto"/>
          <w:u w:val="single"/>
        </w:rPr>
        <w:t>, som fremgår af finansloven</w:t>
      </w:r>
      <w:r w:rsidRPr="00BC658A">
        <w:rPr>
          <w:rFonts w:cs="Georgia"/>
          <w:i/>
          <w:color w:val="auto"/>
          <w:u w:val="single"/>
        </w:rPr>
        <w:t xml:space="preserve">.  </w:t>
      </w:r>
    </w:p>
    <w:p w14:paraId="4A73DBEC" w14:textId="77777777" w:rsidR="00B56D11" w:rsidRPr="00BC658A" w:rsidRDefault="00B56D11" w:rsidP="00B56D11">
      <w:pPr>
        <w:pStyle w:val="Listeafsnit"/>
        <w:numPr>
          <w:ilvl w:val="1"/>
          <w:numId w:val="3"/>
        </w:numPr>
        <w:tabs>
          <w:tab w:val="clear" w:pos="454"/>
        </w:tabs>
        <w:autoSpaceDE w:val="0"/>
        <w:autoSpaceDN w:val="0"/>
        <w:adjustRightInd w:val="0"/>
        <w:rPr>
          <w:color w:val="auto"/>
        </w:rPr>
      </w:pPr>
      <w:r w:rsidRPr="00BC658A">
        <w:rPr>
          <w:color w:val="auto"/>
        </w:rPr>
        <w:t>For myndighedsbetjeningen gælder, at aktiviteten udføres på baggrund af en rammeaftale med et fagministerium, samt på baggrund af hertil knyttede tillægsaftaler (ekskl. IDV) med samme fagministerium, når tillægsaftalens indhold og dokumentation knytter sig specifikt til en forlængelse af det arbejde, der ligger i rammeaftalen. Den sektorrelaterede forskning henføres til formål Forskning og udvikling.</w:t>
      </w:r>
    </w:p>
    <w:p w14:paraId="59C8CC1E" w14:textId="77777777" w:rsidR="00B56D11" w:rsidRPr="00BC658A" w:rsidRDefault="00B56D11" w:rsidP="00B56D11">
      <w:pPr>
        <w:pStyle w:val="Opstilling-punkttegn"/>
        <w:numPr>
          <w:ilvl w:val="0"/>
          <w:numId w:val="3"/>
        </w:numPr>
        <w:spacing w:after="0"/>
        <w:rPr>
          <w:color w:val="auto"/>
        </w:rPr>
      </w:pPr>
      <w:r w:rsidRPr="00BC658A">
        <w:rPr>
          <w:color w:val="auto"/>
        </w:rPr>
        <w:t>Betjening af Miljø- og Fødevareministeriet</w:t>
      </w:r>
    </w:p>
    <w:p w14:paraId="074B7D82" w14:textId="77777777" w:rsidR="00B56D11" w:rsidRPr="00BC658A" w:rsidRDefault="00B56D11" w:rsidP="00B56D11">
      <w:pPr>
        <w:pStyle w:val="Opstilling-punkttegn"/>
        <w:numPr>
          <w:ilvl w:val="0"/>
          <w:numId w:val="3"/>
        </w:numPr>
        <w:spacing w:after="0"/>
        <w:rPr>
          <w:color w:val="auto"/>
        </w:rPr>
      </w:pPr>
      <w:r w:rsidRPr="00BC658A">
        <w:rPr>
          <w:color w:val="auto"/>
        </w:rPr>
        <w:t>Betjening af Transport- og Bygningsministeriet</w:t>
      </w:r>
    </w:p>
    <w:p w14:paraId="761A9933" w14:textId="77777777" w:rsidR="00B56D11" w:rsidRPr="00BC658A" w:rsidRDefault="00B56D11" w:rsidP="00B56D11">
      <w:pPr>
        <w:pStyle w:val="Opstilling-punkttegn"/>
        <w:numPr>
          <w:ilvl w:val="0"/>
          <w:numId w:val="3"/>
        </w:numPr>
        <w:spacing w:after="0"/>
        <w:rPr>
          <w:color w:val="auto"/>
        </w:rPr>
      </w:pPr>
      <w:r w:rsidRPr="00BC658A">
        <w:rPr>
          <w:color w:val="auto"/>
        </w:rPr>
        <w:t>Betjening af Sundheds- og Ældreministeriet</w:t>
      </w:r>
    </w:p>
    <w:p w14:paraId="75742379" w14:textId="77777777" w:rsidR="00B56D11" w:rsidRPr="00BC658A" w:rsidRDefault="00B56D11" w:rsidP="00B56D11">
      <w:pPr>
        <w:pStyle w:val="Opstilling-punkttegn"/>
        <w:numPr>
          <w:ilvl w:val="0"/>
          <w:numId w:val="3"/>
        </w:numPr>
        <w:spacing w:after="0"/>
        <w:rPr>
          <w:color w:val="auto"/>
        </w:rPr>
      </w:pPr>
      <w:r w:rsidRPr="00BC658A">
        <w:rPr>
          <w:color w:val="auto"/>
        </w:rPr>
        <w:lastRenderedPageBreak/>
        <w:t>Retsmedicinske ydelser</w:t>
      </w:r>
    </w:p>
    <w:p w14:paraId="0381D32B" w14:textId="77777777" w:rsidR="00B56D11" w:rsidRPr="00BC658A" w:rsidRDefault="00B56D11" w:rsidP="00B56D11">
      <w:pPr>
        <w:pStyle w:val="Opstilling-punkttegn"/>
        <w:numPr>
          <w:ilvl w:val="1"/>
          <w:numId w:val="3"/>
        </w:numPr>
        <w:spacing w:after="0"/>
        <w:rPr>
          <w:color w:val="auto"/>
        </w:rPr>
      </w:pPr>
      <w:r w:rsidRPr="00BC658A">
        <w:rPr>
          <w:color w:val="auto"/>
        </w:rPr>
        <w:t xml:space="preserve">Retsmedicin </w:t>
      </w:r>
      <w:r w:rsidRPr="00BC658A">
        <w:rPr>
          <w:rFonts w:cs="Georgia"/>
          <w:color w:val="auto"/>
        </w:rPr>
        <w:t>omfatter de for retsvæsenet mv. særlige opgaver, som er henlagt til visse universiteters retsmedicinske institutter, jf. bekendtgørelse om retsmedicinske institutter ved Københavns Universitet, Aarhus Universitet og Syddansk Universitet (BEK nr. 970 af 25/09/2009). Det bemærkes, at omkostninger relateret til uddannelse samt forskning og udvikling i relation til retsmedicin henføres til disse formål.</w:t>
      </w:r>
    </w:p>
    <w:p w14:paraId="268ED5FD" w14:textId="77777777" w:rsidR="00B56D11" w:rsidRPr="00BC658A" w:rsidRDefault="00B56D11" w:rsidP="00B56D11">
      <w:pPr>
        <w:pStyle w:val="Opstilling-punkttegn"/>
        <w:numPr>
          <w:ilvl w:val="0"/>
          <w:numId w:val="3"/>
        </w:numPr>
        <w:spacing w:after="0"/>
        <w:rPr>
          <w:color w:val="auto"/>
        </w:rPr>
      </w:pPr>
      <w:r w:rsidRPr="00BC658A">
        <w:rPr>
          <w:color w:val="auto"/>
        </w:rPr>
        <w:t>Rådgivning og øvrige ydelser</w:t>
      </w:r>
    </w:p>
    <w:p w14:paraId="50B41BAF" w14:textId="77777777" w:rsidR="00B56D11" w:rsidRPr="00BC658A" w:rsidRDefault="00B56D11" w:rsidP="00B56D11">
      <w:pPr>
        <w:pStyle w:val="Opstilling-punkttegn"/>
        <w:numPr>
          <w:ilvl w:val="1"/>
          <w:numId w:val="3"/>
        </w:numPr>
        <w:spacing w:after="0"/>
        <w:rPr>
          <w:color w:val="auto"/>
        </w:rPr>
      </w:pPr>
      <w:r w:rsidRPr="00BC658A">
        <w:rPr>
          <w:color w:val="auto"/>
        </w:rPr>
        <w:t>Rådgivning og øvrige ydelser omfatter rådgivning af myndigheder, der ikke er henholdsvis forskningsbaseret myndighedsbetjening eller retsmedicin. På universitetsområdet omfatter det således den del af forskningsbaserede aktiviteter såsom faglig rådgivning i traditionel forstand (udredninger, notater, deltagelse i kommissionsarbejde og faglige udvalg mv.) og en række faglige opgaver som monitorering, laboratorieanalyser, risikoanalyser, dataaktiviteter mv, som ikke er en del af den egentlige forskningsbaserede myndighedsbetjening</w:t>
      </w:r>
    </w:p>
    <w:p w14:paraId="2896DB12" w14:textId="77777777" w:rsidR="00B56D11" w:rsidRPr="00BC658A" w:rsidRDefault="00B56D11" w:rsidP="00B56D11">
      <w:pPr>
        <w:pStyle w:val="Listeafsnit"/>
        <w:numPr>
          <w:ilvl w:val="0"/>
          <w:numId w:val="6"/>
        </w:numPr>
        <w:rPr>
          <w:vanish/>
          <w:color w:val="auto"/>
        </w:rPr>
      </w:pPr>
    </w:p>
    <w:p w14:paraId="3E5F1ADB" w14:textId="77777777" w:rsidR="00B56D11" w:rsidRPr="00BC658A" w:rsidRDefault="00B56D11" w:rsidP="00B56D11">
      <w:pPr>
        <w:pStyle w:val="Listeafsnit"/>
        <w:numPr>
          <w:ilvl w:val="0"/>
          <w:numId w:val="6"/>
        </w:numPr>
        <w:rPr>
          <w:vanish/>
          <w:color w:val="auto"/>
        </w:rPr>
      </w:pPr>
    </w:p>
    <w:p w14:paraId="61960AD0" w14:textId="77777777" w:rsidR="00B56D11" w:rsidRPr="00BC658A" w:rsidRDefault="00B56D11" w:rsidP="00B56D11">
      <w:pPr>
        <w:pStyle w:val="Listeafsnit"/>
        <w:numPr>
          <w:ilvl w:val="0"/>
          <w:numId w:val="6"/>
        </w:numPr>
        <w:rPr>
          <w:vanish/>
          <w:color w:val="auto"/>
        </w:rPr>
      </w:pPr>
    </w:p>
    <w:p w14:paraId="5429C3CC" w14:textId="77777777" w:rsidR="00B56D11" w:rsidRPr="00BC658A" w:rsidRDefault="00B56D11" w:rsidP="00B56D11">
      <w:pPr>
        <w:pStyle w:val="Listeafsnit"/>
        <w:numPr>
          <w:ilvl w:val="0"/>
          <w:numId w:val="3"/>
        </w:numPr>
        <w:rPr>
          <w:color w:val="auto"/>
        </w:rPr>
      </w:pPr>
      <w:r w:rsidRPr="00BC658A">
        <w:rPr>
          <w:color w:val="auto"/>
        </w:rPr>
        <w:t>Administrative omkostninger i tilknytning til myndighedsbetjening, rådgivning og øvrige ydelser:</w:t>
      </w:r>
    </w:p>
    <w:p w14:paraId="61495B13" w14:textId="77777777" w:rsidR="00B56D11" w:rsidRPr="00BC658A" w:rsidRDefault="00B56D11" w:rsidP="00B56D11">
      <w:pPr>
        <w:pStyle w:val="Listeafsnit"/>
        <w:numPr>
          <w:ilvl w:val="1"/>
          <w:numId w:val="3"/>
        </w:numPr>
        <w:rPr>
          <w:color w:val="auto"/>
        </w:rPr>
      </w:pPr>
      <w:r w:rsidRPr="00BC658A">
        <w:rPr>
          <w:color w:val="auto"/>
        </w:rPr>
        <w:t>Administration og ledelse på alle organisatoriske niveauer, der sker i tilknytning til myndighedsbetjening, rådgivning og øvrige ydelser.</w:t>
      </w:r>
    </w:p>
    <w:p w14:paraId="5637CC4E" w14:textId="77777777" w:rsidR="00B56D11" w:rsidRPr="00BC658A" w:rsidRDefault="00B56D11" w:rsidP="00B56D11">
      <w:pPr>
        <w:pStyle w:val="Listeafsnit"/>
        <w:numPr>
          <w:ilvl w:val="1"/>
          <w:numId w:val="3"/>
        </w:numPr>
        <w:rPr>
          <w:color w:val="auto"/>
        </w:rPr>
      </w:pPr>
      <w:r w:rsidRPr="00BC658A">
        <w:rPr>
          <w:color w:val="auto"/>
        </w:rPr>
        <w:t>Promovering af aktiviteter under omkostningspulje 4. Myndighedsbetjening, rådgivning og øvrige ydelser</w:t>
      </w:r>
    </w:p>
    <w:p w14:paraId="35A5B576" w14:textId="77777777" w:rsidR="00B56D11" w:rsidRPr="00BC658A" w:rsidRDefault="00B56D11" w:rsidP="00B56D11">
      <w:pPr>
        <w:pStyle w:val="Listeafsnit"/>
        <w:numPr>
          <w:ilvl w:val="1"/>
          <w:numId w:val="3"/>
        </w:numPr>
        <w:rPr>
          <w:color w:val="auto"/>
        </w:rPr>
      </w:pPr>
      <w:r w:rsidRPr="00BC658A">
        <w:rPr>
          <w:color w:val="auto"/>
        </w:rPr>
        <w:t>Økonomisk opfølgning på projekter inden for omkostningspulje 4. Myndighedsbetjening, rådgivning og øvrige ydelser.</w:t>
      </w:r>
    </w:p>
    <w:p w14:paraId="312F43A3" w14:textId="77777777" w:rsidR="00B56D11" w:rsidRPr="00BC658A" w:rsidRDefault="00B56D11" w:rsidP="00B56D11">
      <w:pPr>
        <w:pStyle w:val="Listeafsnit"/>
        <w:numPr>
          <w:ilvl w:val="1"/>
          <w:numId w:val="3"/>
        </w:numPr>
        <w:rPr>
          <w:color w:val="auto"/>
        </w:rPr>
      </w:pPr>
      <w:r w:rsidRPr="00BC658A">
        <w:rPr>
          <w:color w:val="auto"/>
        </w:rPr>
        <w:t>Ansættelses- og bedømmelsesudvalg i relation til stillinger under omkostningspulje 4. Myndighedsbetjening, rådgivning og øvrige ydelser</w:t>
      </w:r>
    </w:p>
    <w:p w14:paraId="7D42A0E6" w14:textId="77777777" w:rsidR="00B56D11" w:rsidRPr="00BC658A" w:rsidRDefault="00B56D11" w:rsidP="00B56D11">
      <w:pPr>
        <w:pStyle w:val="Listeafsnit"/>
        <w:numPr>
          <w:ilvl w:val="1"/>
          <w:numId w:val="3"/>
        </w:numPr>
        <w:rPr>
          <w:color w:val="auto"/>
        </w:rPr>
      </w:pPr>
      <w:r w:rsidRPr="00BC658A">
        <w:rPr>
          <w:color w:val="auto"/>
        </w:rPr>
        <w:t>IT-udstyr og systemer vedrørende myndighedsbetjening, når det entydigt og direkte kan henføres hertil.</w:t>
      </w:r>
    </w:p>
    <w:p w14:paraId="00238BD9" w14:textId="77777777" w:rsidR="00B56D11" w:rsidRPr="00BC658A" w:rsidRDefault="00B56D11" w:rsidP="00B56D11">
      <w:pPr>
        <w:rPr>
          <w:color w:val="auto"/>
        </w:rPr>
      </w:pPr>
    </w:p>
    <w:p w14:paraId="6EB8B3B5" w14:textId="77777777" w:rsidR="00B56D11" w:rsidRPr="00BC658A" w:rsidRDefault="00B56D11" w:rsidP="00B56D11">
      <w:pPr>
        <w:pStyle w:val="Listeafsnit"/>
        <w:ind w:left="0"/>
        <w:rPr>
          <w:i/>
          <w:color w:val="auto"/>
        </w:rPr>
      </w:pPr>
    </w:p>
    <w:p w14:paraId="3ED32995" w14:textId="77777777" w:rsidR="00B56D11" w:rsidRPr="00BC658A" w:rsidRDefault="00B56D11" w:rsidP="00B56D11">
      <w:pPr>
        <w:rPr>
          <w:color w:val="auto"/>
        </w:rPr>
      </w:pPr>
    </w:p>
    <w:p w14:paraId="45EF0089" w14:textId="77777777" w:rsidR="00B56D11" w:rsidRPr="00BC658A" w:rsidRDefault="00B56D11" w:rsidP="00B56D11">
      <w:pPr>
        <w:pStyle w:val="Listeafsnit"/>
        <w:numPr>
          <w:ilvl w:val="1"/>
          <w:numId w:val="8"/>
        </w:numPr>
        <w:rPr>
          <w:b/>
          <w:color w:val="auto"/>
        </w:rPr>
      </w:pPr>
      <w:bookmarkStart w:id="124" w:name="_Toc514319793"/>
      <w:r w:rsidRPr="00BC658A">
        <w:rPr>
          <w:b/>
          <w:color w:val="auto"/>
        </w:rPr>
        <w:t xml:space="preserve">Kostafdelinger og kollegier </w:t>
      </w:r>
    </w:p>
    <w:p w14:paraId="7CF46594" w14:textId="77777777" w:rsidR="00B56D11" w:rsidRPr="00BC658A" w:rsidRDefault="00B56D11" w:rsidP="00B56D11">
      <w:pPr>
        <w:rPr>
          <w:color w:val="auto"/>
        </w:rPr>
      </w:pPr>
      <w:r w:rsidRPr="00BC658A">
        <w:rPr>
          <w:color w:val="auto"/>
        </w:rPr>
        <w:t>Formålet omfatter alle institutionens omkostninger og indtægter (sidstnævnte undtaget tilskud til almindelig virksomhed fra Styrelsen for Institutioner og Uddannelsesstøtte) til kostafdeling og kollegier, som institutionerne jf. relevant lovgivning herom har hjemmel til at afholde.</w:t>
      </w:r>
    </w:p>
    <w:p w14:paraId="46E9C87D" w14:textId="77777777" w:rsidR="00B56D11" w:rsidRPr="00BC658A" w:rsidRDefault="00B56D11" w:rsidP="00B56D11">
      <w:pPr>
        <w:pStyle w:val="Listeafsnit"/>
        <w:ind w:left="432"/>
        <w:rPr>
          <w:color w:val="auto"/>
        </w:rPr>
      </w:pPr>
    </w:p>
    <w:p w14:paraId="11BD48A4" w14:textId="77777777" w:rsidR="00B56D11" w:rsidRPr="00BC658A" w:rsidRDefault="00B56D11" w:rsidP="00B56D11">
      <w:pPr>
        <w:rPr>
          <w:rFonts w:eastAsiaTheme="majorEastAsia" w:cstheme="majorBidi"/>
          <w:color w:val="auto"/>
          <w:szCs w:val="26"/>
        </w:rPr>
      </w:pPr>
      <w:r w:rsidRPr="00BC658A">
        <w:rPr>
          <w:rFonts w:eastAsiaTheme="majorEastAsia" w:cstheme="majorBidi"/>
          <w:color w:val="auto"/>
          <w:szCs w:val="26"/>
        </w:rPr>
        <w:t xml:space="preserve">Aktiviteter vedrørende kostafdelinger og kollegier </w:t>
      </w:r>
      <w:bookmarkEnd w:id="124"/>
      <w:r w:rsidRPr="00BC658A">
        <w:rPr>
          <w:rFonts w:eastAsiaTheme="majorEastAsia" w:cstheme="majorBidi"/>
          <w:color w:val="auto"/>
          <w:szCs w:val="26"/>
        </w:rPr>
        <w:t>følger nedenfor. Listen indeholder aktiviteter, der skal registreres på ’</w:t>
      </w:r>
      <w:r w:rsidRPr="00BC658A">
        <w:rPr>
          <w:rFonts w:eastAsiaTheme="majorEastAsia" w:cstheme="majorBidi"/>
          <w:i/>
          <w:color w:val="auto"/>
          <w:szCs w:val="26"/>
        </w:rPr>
        <w:t>Formål 5. Kostafdelinger og kollegier’</w:t>
      </w:r>
      <w:r w:rsidRPr="00BC658A">
        <w:rPr>
          <w:rFonts w:eastAsiaTheme="majorEastAsia" w:cstheme="majorBidi"/>
          <w:color w:val="auto"/>
          <w:szCs w:val="26"/>
        </w:rPr>
        <w:t xml:space="preserve">. Det er ikke obligatorisk at registrere indtægter og omkostninger på delformål i institutionens økonomisystem, men hvis institutionen ønsker dette, skal styrelsens nummerstruktur for registrering af delformål anvendes. Listen er tilgængelig på UFM.dk </w:t>
      </w:r>
      <w:r w:rsidRPr="00BC658A">
        <w:rPr>
          <w:color w:val="auto"/>
        </w:rPr>
        <w:t>[linket indsættes her].</w:t>
      </w:r>
    </w:p>
    <w:p w14:paraId="25987E44" w14:textId="77777777" w:rsidR="00B56D11" w:rsidRPr="00BC658A" w:rsidRDefault="00B56D11" w:rsidP="00B56D11">
      <w:pPr>
        <w:pStyle w:val="Listeafsnit"/>
        <w:rPr>
          <w:rFonts w:eastAsiaTheme="majorEastAsia" w:cstheme="majorBidi"/>
          <w:color w:val="auto"/>
          <w:szCs w:val="26"/>
        </w:rPr>
      </w:pPr>
    </w:p>
    <w:p w14:paraId="6630C381" w14:textId="77777777" w:rsidR="00B56D11" w:rsidRPr="00BC658A" w:rsidRDefault="00B56D11" w:rsidP="00B56D11">
      <w:pPr>
        <w:pStyle w:val="Listeafsnit"/>
        <w:ind w:left="0"/>
        <w:rPr>
          <w:rFonts w:eastAsiaTheme="majorEastAsia" w:cstheme="majorBidi"/>
          <w:color w:val="auto"/>
          <w:szCs w:val="26"/>
        </w:rPr>
      </w:pPr>
      <w:r w:rsidRPr="00BC658A">
        <w:rPr>
          <w:rFonts w:eastAsiaTheme="majorEastAsia" w:cstheme="majorBidi"/>
          <w:color w:val="auto"/>
          <w:szCs w:val="26"/>
        </w:rPr>
        <w:t>Aktiviteter vedrørende kostafdelinger og kollegier:</w:t>
      </w:r>
    </w:p>
    <w:p w14:paraId="77C90CAB" w14:textId="77777777" w:rsidR="00B56D11" w:rsidRPr="00BC658A" w:rsidRDefault="00B56D11" w:rsidP="00B56D11">
      <w:pPr>
        <w:pStyle w:val="Listeafsnit"/>
        <w:ind w:left="0"/>
        <w:rPr>
          <w:color w:val="auto"/>
        </w:rPr>
      </w:pPr>
    </w:p>
    <w:p w14:paraId="76F7F008" w14:textId="77777777" w:rsidR="00B56D11" w:rsidRPr="00BC658A" w:rsidRDefault="00B56D11" w:rsidP="00B56D11">
      <w:pPr>
        <w:pStyle w:val="Listeafsnit"/>
        <w:numPr>
          <w:ilvl w:val="0"/>
          <w:numId w:val="3"/>
        </w:numPr>
        <w:rPr>
          <w:color w:val="auto"/>
        </w:rPr>
      </w:pPr>
      <w:r w:rsidRPr="00BC658A">
        <w:rPr>
          <w:color w:val="auto"/>
        </w:rPr>
        <w:t>Omkostninger til kostafdeling og kollegier</w:t>
      </w:r>
    </w:p>
    <w:p w14:paraId="20C0631C" w14:textId="77777777" w:rsidR="00B56D11" w:rsidRPr="00BC658A" w:rsidRDefault="00B56D11" w:rsidP="00B56D11">
      <w:pPr>
        <w:pStyle w:val="Listeafsnit"/>
        <w:numPr>
          <w:ilvl w:val="0"/>
          <w:numId w:val="9"/>
        </w:numPr>
        <w:rPr>
          <w:color w:val="auto"/>
        </w:rPr>
      </w:pPr>
      <w:r w:rsidRPr="00BC658A">
        <w:rPr>
          <w:color w:val="auto"/>
        </w:rPr>
        <w:t>Boliger, som institutionerne stiller til rådighed for studerende i form af kostafdelinger eller kollegier</w:t>
      </w:r>
    </w:p>
    <w:p w14:paraId="0FA6FAEC" w14:textId="77777777" w:rsidR="00B56D11" w:rsidRPr="00BC658A" w:rsidRDefault="00B56D11" w:rsidP="00B56D11">
      <w:pPr>
        <w:pStyle w:val="Listeafsnit"/>
        <w:numPr>
          <w:ilvl w:val="0"/>
          <w:numId w:val="3"/>
        </w:numPr>
        <w:rPr>
          <w:color w:val="auto"/>
        </w:rPr>
      </w:pPr>
      <w:r w:rsidRPr="00BC658A">
        <w:rPr>
          <w:color w:val="auto"/>
        </w:rPr>
        <w:t xml:space="preserve">Administration af kostafdeling og kollegier </w:t>
      </w:r>
    </w:p>
    <w:p w14:paraId="13F4E9BB" w14:textId="77777777" w:rsidR="00B56D11" w:rsidRPr="00BC658A" w:rsidRDefault="00B56D11" w:rsidP="00B56D11">
      <w:pPr>
        <w:pStyle w:val="Listeafsnit"/>
        <w:numPr>
          <w:ilvl w:val="0"/>
          <w:numId w:val="9"/>
        </w:numPr>
        <w:rPr>
          <w:color w:val="auto"/>
        </w:rPr>
      </w:pPr>
      <w:r w:rsidRPr="00BC658A">
        <w:rPr>
          <w:color w:val="auto"/>
        </w:rPr>
        <w:t>Administration og ledelse på alle organisatoriske niveauer, der sker i tilknytning til kostafdeling og kollegier</w:t>
      </w:r>
    </w:p>
    <w:p w14:paraId="35B7750A" w14:textId="77777777" w:rsidR="00B56D11" w:rsidRPr="00BC658A" w:rsidRDefault="00B56D11" w:rsidP="00B56D11">
      <w:pPr>
        <w:pStyle w:val="Listeafsnit"/>
        <w:numPr>
          <w:ilvl w:val="0"/>
          <w:numId w:val="4"/>
        </w:numPr>
        <w:rPr>
          <w:color w:val="auto"/>
        </w:rPr>
      </w:pPr>
      <w:r w:rsidRPr="00BC658A">
        <w:rPr>
          <w:color w:val="auto"/>
        </w:rPr>
        <w:t xml:space="preserve">Promovering af aktiviteter </w:t>
      </w:r>
    </w:p>
    <w:p w14:paraId="5A11CCC2" w14:textId="77777777" w:rsidR="00B56D11" w:rsidRPr="00BC658A" w:rsidRDefault="00B56D11" w:rsidP="00B56D11">
      <w:pPr>
        <w:pStyle w:val="Listeafsnit"/>
        <w:numPr>
          <w:ilvl w:val="0"/>
          <w:numId w:val="4"/>
        </w:numPr>
        <w:rPr>
          <w:color w:val="auto"/>
        </w:rPr>
      </w:pPr>
      <w:r w:rsidRPr="00BC658A">
        <w:rPr>
          <w:color w:val="auto"/>
        </w:rPr>
        <w:t>IT-udstyr og systemer vedrørende kostafdeling og kollegier, når det entydigt og direkte kan henføres hertil.</w:t>
      </w:r>
    </w:p>
    <w:p w14:paraId="77E91D4B" w14:textId="77777777" w:rsidR="00B56D11" w:rsidRPr="00BC658A" w:rsidRDefault="00B56D11" w:rsidP="00B56D11">
      <w:pPr>
        <w:rPr>
          <w:i/>
          <w:color w:val="auto"/>
          <w:highlight w:val="lightGray"/>
        </w:rPr>
      </w:pPr>
    </w:p>
    <w:p w14:paraId="4515B8E3" w14:textId="77777777" w:rsidR="00B56D11" w:rsidRPr="00BC658A" w:rsidRDefault="00B56D11" w:rsidP="00B56D11">
      <w:pPr>
        <w:rPr>
          <w:i/>
          <w:color w:val="auto"/>
        </w:rPr>
      </w:pPr>
      <w:r w:rsidRPr="00BC658A">
        <w:rPr>
          <w:i/>
          <w:color w:val="auto"/>
          <w:highlight w:val="lightGray"/>
        </w:rPr>
        <w:t>[Placering af forplejning som en del af de generelle fællesomkostninger drøftes mellem SIU og institutionerne i de tilfælde hvor institutionen har kostafdelinger]</w:t>
      </w:r>
    </w:p>
    <w:p w14:paraId="6D62B301" w14:textId="77777777" w:rsidR="00B56D11" w:rsidRPr="00BC658A" w:rsidRDefault="00B56D11" w:rsidP="00B56D11">
      <w:pPr>
        <w:rPr>
          <w:color w:val="auto"/>
        </w:rPr>
      </w:pPr>
    </w:p>
    <w:p w14:paraId="7E7A25B2" w14:textId="77777777" w:rsidR="00B56D11" w:rsidRPr="00BC658A" w:rsidRDefault="00B56D11" w:rsidP="00B56D11">
      <w:pPr>
        <w:pStyle w:val="Listeafsnit"/>
        <w:numPr>
          <w:ilvl w:val="1"/>
          <w:numId w:val="8"/>
        </w:numPr>
        <w:rPr>
          <w:b/>
          <w:color w:val="auto"/>
        </w:rPr>
      </w:pPr>
      <w:bookmarkStart w:id="125" w:name="_Toc514319794"/>
      <w:r w:rsidRPr="00BC658A">
        <w:rPr>
          <w:b/>
          <w:color w:val="auto"/>
        </w:rPr>
        <w:t>Generelle fællesomkostninger</w:t>
      </w:r>
      <w:bookmarkStart w:id="126" w:name="_Toc514319795"/>
      <w:bookmarkEnd w:id="125"/>
      <w:bookmarkEnd w:id="126"/>
    </w:p>
    <w:p w14:paraId="2F051314" w14:textId="77777777" w:rsidR="00B56D11" w:rsidRPr="00BC658A" w:rsidRDefault="00B56D11" w:rsidP="00B56D11">
      <w:pPr>
        <w:rPr>
          <w:b/>
          <w:color w:val="auto"/>
        </w:rPr>
      </w:pPr>
    </w:p>
    <w:p w14:paraId="70B9B204" w14:textId="77777777" w:rsidR="00B56D11" w:rsidRPr="00BC658A" w:rsidRDefault="00B56D11" w:rsidP="00B56D11">
      <w:pPr>
        <w:pStyle w:val="Listeafsnit"/>
        <w:ind w:left="0"/>
        <w:rPr>
          <w:i/>
          <w:color w:val="auto"/>
        </w:rPr>
      </w:pPr>
      <w:r w:rsidRPr="00BC658A">
        <w:rPr>
          <w:i/>
          <w:color w:val="auto"/>
          <w:highlight w:val="lightGray"/>
        </w:rPr>
        <w:t>[SIU udfolder snitfladen mellem generelle fællesomkostninger og indirekte omkostninger (på de faglige formål), herunder institutionernes forskellige organiseringer omkring de indirekte aktiviteter]</w:t>
      </w:r>
    </w:p>
    <w:p w14:paraId="1EEF35CC" w14:textId="77777777" w:rsidR="00B56D11" w:rsidRPr="00BC658A" w:rsidRDefault="00B56D11" w:rsidP="00B56D11">
      <w:pPr>
        <w:pStyle w:val="Listeafsnit"/>
        <w:ind w:left="0"/>
        <w:rPr>
          <w:i/>
          <w:color w:val="auto"/>
        </w:rPr>
      </w:pPr>
    </w:p>
    <w:p w14:paraId="59EF8DC7" w14:textId="77777777" w:rsidR="00B56D11" w:rsidRPr="00BC658A" w:rsidRDefault="00B56D11" w:rsidP="00B56D11">
      <w:pPr>
        <w:rPr>
          <w:b/>
          <w:color w:val="auto"/>
        </w:rPr>
      </w:pPr>
    </w:p>
    <w:p w14:paraId="561EEDBF" w14:textId="77777777" w:rsidR="00B56D11" w:rsidRPr="00BC658A" w:rsidRDefault="00B56D11" w:rsidP="00B56D11">
      <w:pPr>
        <w:rPr>
          <w:color w:val="auto"/>
        </w:rPr>
      </w:pPr>
      <w:r w:rsidRPr="00BC658A">
        <w:rPr>
          <w:color w:val="auto"/>
        </w:rPr>
        <w:t xml:space="preserve">Formålet ’Generelle fællesomkostninger’ er omkostninger, som vedrører hele institutionen. </w:t>
      </w:r>
    </w:p>
    <w:p w14:paraId="7B93AC26" w14:textId="77777777" w:rsidR="00B56D11" w:rsidRPr="00BC658A" w:rsidRDefault="00B56D11" w:rsidP="00B56D11">
      <w:pPr>
        <w:rPr>
          <w:color w:val="auto"/>
        </w:rPr>
      </w:pPr>
    </w:p>
    <w:p w14:paraId="6B401FFE" w14:textId="77777777" w:rsidR="00B56D11" w:rsidRPr="00BC658A" w:rsidRDefault="00B56D11" w:rsidP="00B56D11">
      <w:pPr>
        <w:rPr>
          <w:color w:val="auto"/>
        </w:rPr>
      </w:pPr>
      <w:r w:rsidRPr="00BC658A">
        <w:rPr>
          <w:color w:val="auto"/>
        </w:rPr>
        <w:t xml:space="preserve">Generelle fællesomkostninger kan opdeles i to typer omkostninger: </w:t>
      </w:r>
    </w:p>
    <w:p w14:paraId="16184C96" w14:textId="77777777" w:rsidR="00B56D11" w:rsidRPr="00BC658A" w:rsidRDefault="00B56D11" w:rsidP="00B56D11">
      <w:pPr>
        <w:rPr>
          <w:color w:val="auto"/>
        </w:rPr>
      </w:pPr>
    </w:p>
    <w:p w14:paraId="3D3ECCF7" w14:textId="77777777" w:rsidR="00B56D11" w:rsidRPr="00BC658A" w:rsidRDefault="00B56D11" w:rsidP="00B56D11">
      <w:pPr>
        <w:pStyle w:val="Listeafsnit"/>
        <w:numPr>
          <w:ilvl w:val="0"/>
          <w:numId w:val="3"/>
        </w:numPr>
        <w:rPr>
          <w:color w:val="auto"/>
        </w:rPr>
      </w:pPr>
      <w:r w:rsidRPr="00BC658A">
        <w:rPr>
          <w:color w:val="auto"/>
        </w:rPr>
        <w:t xml:space="preserve">Løn til generel ledelse og støttefunktioner. </w:t>
      </w:r>
    </w:p>
    <w:p w14:paraId="2D49FB98" w14:textId="77777777" w:rsidR="00B56D11" w:rsidRPr="00BC658A" w:rsidRDefault="00B56D11" w:rsidP="00B56D11">
      <w:pPr>
        <w:pStyle w:val="Listeafsnit"/>
        <w:numPr>
          <w:ilvl w:val="0"/>
          <w:numId w:val="3"/>
        </w:numPr>
        <w:rPr>
          <w:color w:val="auto"/>
        </w:rPr>
      </w:pPr>
      <w:r w:rsidRPr="00BC658A">
        <w:rPr>
          <w:color w:val="auto"/>
        </w:rPr>
        <w:t>Omkostninger til fælles driftsomkostninger, driftsomkostninger for generel ledelse samt driftsomkostninger for støttefunktioner.</w:t>
      </w:r>
    </w:p>
    <w:p w14:paraId="0A45C439" w14:textId="77777777" w:rsidR="00B56D11" w:rsidRPr="00BC658A" w:rsidRDefault="00B56D11" w:rsidP="00B56D11">
      <w:pPr>
        <w:rPr>
          <w:color w:val="auto"/>
        </w:rPr>
      </w:pPr>
    </w:p>
    <w:p w14:paraId="3185758E" w14:textId="77777777" w:rsidR="00B56D11" w:rsidRPr="00BC658A" w:rsidRDefault="00B56D11" w:rsidP="00B56D11">
      <w:pPr>
        <w:rPr>
          <w:color w:val="auto"/>
        </w:rPr>
      </w:pPr>
      <w:r w:rsidRPr="00BC658A">
        <w:rPr>
          <w:color w:val="auto"/>
        </w:rPr>
        <w:t>Identifikationen af generelle fællesomkostninger skal efter et princip om funktion frem for placering. Funktioner, der vedrører hele institutionen uanset funktionens fysiske og organisatoriske placering, er generelle fællesomkostninger.</w:t>
      </w:r>
    </w:p>
    <w:p w14:paraId="67FBA0ED" w14:textId="77777777" w:rsidR="00B56D11" w:rsidRPr="00BC658A" w:rsidRDefault="00B56D11" w:rsidP="00B56D11">
      <w:pPr>
        <w:pStyle w:val="Opstilling-punkttegn"/>
        <w:numPr>
          <w:ilvl w:val="0"/>
          <w:numId w:val="0"/>
        </w:numPr>
        <w:spacing w:after="0"/>
        <w:rPr>
          <w:rStyle w:val="Kommentarhenvisning"/>
          <w:color w:val="auto"/>
        </w:rPr>
      </w:pPr>
    </w:p>
    <w:p w14:paraId="3B5983DB" w14:textId="77777777" w:rsidR="00B56D11" w:rsidRPr="00BC658A" w:rsidRDefault="00B56D11" w:rsidP="00B56D11">
      <w:pPr>
        <w:pStyle w:val="Opstilling-punkttegn"/>
        <w:numPr>
          <w:ilvl w:val="0"/>
          <w:numId w:val="0"/>
        </w:numPr>
        <w:spacing w:after="0"/>
        <w:rPr>
          <w:rStyle w:val="Kommentarhenvisning"/>
          <w:color w:val="auto"/>
        </w:rPr>
      </w:pPr>
      <w:r w:rsidRPr="00BC658A">
        <w:rPr>
          <w:rStyle w:val="Kommentarhenvisning"/>
          <w:color w:val="auto"/>
        </w:rPr>
        <w:t xml:space="preserve">Aktiviteter vedrørende generelle fællesomkostninger følger nedenfor. Listen indeholder aktiviteter, der skal registreres på ’Formål 6. Generelle fællesomkostninger. Det er ikke obligatorisk at registrere indtægter og omkostninger på delformål i institutionens økonomisystem, men hvis institutionen ønsker dette, skal styrelsens nummerstruktur for registrering af delformål anvendes. Listen er tilgængelig på UFM.dk [linket indsættes her]. </w:t>
      </w:r>
    </w:p>
    <w:p w14:paraId="742447A4" w14:textId="77777777" w:rsidR="00B56D11" w:rsidRPr="00BC658A" w:rsidRDefault="00B56D11" w:rsidP="00B56D11">
      <w:pPr>
        <w:pStyle w:val="Opstilling-punkttegn"/>
        <w:numPr>
          <w:ilvl w:val="0"/>
          <w:numId w:val="0"/>
        </w:numPr>
        <w:rPr>
          <w:rStyle w:val="Kommentarhenvisning"/>
          <w:color w:val="auto"/>
        </w:rPr>
      </w:pPr>
    </w:p>
    <w:p w14:paraId="2EDD4BAD" w14:textId="77777777" w:rsidR="00B56D11" w:rsidRPr="00BC658A" w:rsidRDefault="00B56D11" w:rsidP="00B56D11">
      <w:pPr>
        <w:pStyle w:val="Overskrift4"/>
        <w:rPr>
          <w:color w:val="auto"/>
        </w:rPr>
      </w:pPr>
      <w:r w:rsidRPr="00BC658A">
        <w:rPr>
          <w:color w:val="auto"/>
        </w:rPr>
        <w:t>Generel ledelse</w:t>
      </w:r>
    </w:p>
    <w:p w14:paraId="7AACF14E" w14:textId="77777777" w:rsidR="00B56D11" w:rsidRPr="00BC658A" w:rsidRDefault="00B56D11" w:rsidP="00B56D11">
      <w:pPr>
        <w:rPr>
          <w:color w:val="auto"/>
        </w:rPr>
      </w:pPr>
      <w:r w:rsidRPr="00BC658A">
        <w:rPr>
          <w:color w:val="auto"/>
        </w:rPr>
        <w:t>Alle ledelsesniveauer med tværgående ledelses- eller personalemæssigt ansvar, uanset hvilke opgaver de underliggende enheder varetager. Generel ledelse omfatter lønomkostninger i forbindelse med den overordnede styring og ledelse af institutionen. I praksis omfattes følgende stillinger i udgangspunktet som en del af institutionens generelle ledelse, ud over bestyrelsen:</w:t>
      </w:r>
    </w:p>
    <w:p w14:paraId="57B225C9" w14:textId="77777777" w:rsidR="00B56D11" w:rsidRPr="00BC658A" w:rsidRDefault="00B56D11" w:rsidP="00B56D11">
      <w:pPr>
        <w:rPr>
          <w:color w:val="auto"/>
        </w:rPr>
      </w:pPr>
    </w:p>
    <w:p w14:paraId="686071F3" w14:textId="77777777" w:rsidR="00B56D11" w:rsidRPr="00BC658A" w:rsidRDefault="00B56D11" w:rsidP="00B56D11">
      <w:pPr>
        <w:pStyle w:val="Listeafsnit"/>
        <w:numPr>
          <w:ilvl w:val="0"/>
          <w:numId w:val="5"/>
        </w:numPr>
        <w:ind w:left="814"/>
        <w:rPr>
          <w:color w:val="auto"/>
        </w:rPr>
      </w:pPr>
      <w:r w:rsidRPr="00BC658A">
        <w:rPr>
          <w:color w:val="auto"/>
        </w:rPr>
        <w:t>Universiteter:</w:t>
      </w:r>
    </w:p>
    <w:p w14:paraId="570060A0" w14:textId="77777777" w:rsidR="00B56D11" w:rsidRPr="00BC658A" w:rsidRDefault="00B56D11" w:rsidP="00B56D11">
      <w:pPr>
        <w:pStyle w:val="Listeafsnit"/>
        <w:numPr>
          <w:ilvl w:val="1"/>
          <w:numId w:val="5"/>
        </w:numPr>
        <w:ind w:left="1534"/>
        <w:rPr>
          <w:color w:val="auto"/>
        </w:rPr>
      </w:pPr>
      <w:r w:rsidRPr="00BC658A">
        <w:rPr>
          <w:color w:val="auto"/>
        </w:rPr>
        <w:t xml:space="preserve">Rektor, prorektor og </w:t>
      </w:r>
      <w:proofErr w:type="spellStart"/>
      <w:r w:rsidRPr="00BC658A">
        <w:rPr>
          <w:color w:val="auto"/>
        </w:rPr>
        <w:t>universitetsdirektør</w:t>
      </w:r>
      <w:proofErr w:type="spellEnd"/>
    </w:p>
    <w:p w14:paraId="4487C2CD" w14:textId="77777777" w:rsidR="00B56D11" w:rsidRPr="00BC658A" w:rsidRDefault="00B56D11" w:rsidP="00B56D11">
      <w:pPr>
        <w:pStyle w:val="Listeafsnit"/>
        <w:numPr>
          <w:ilvl w:val="1"/>
          <w:numId w:val="5"/>
        </w:numPr>
        <w:ind w:left="1534"/>
        <w:rPr>
          <w:color w:val="auto"/>
        </w:rPr>
      </w:pPr>
      <w:r w:rsidRPr="00BC658A">
        <w:rPr>
          <w:color w:val="auto"/>
        </w:rPr>
        <w:t>Dekan, prodekaner og fakultetsdirektører</w:t>
      </w:r>
    </w:p>
    <w:p w14:paraId="274902CC" w14:textId="77777777" w:rsidR="00B56D11" w:rsidRPr="00BC658A" w:rsidRDefault="00B56D11" w:rsidP="00B56D11">
      <w:pPr>
        <w:pStyle w:val="Listeafsnit"/>
        <w:numPr>
          <w:ilvl w:val="1"/>
          <w:numId w:val="5"/>
        </w:numPr>
        <w:ind w:left="1534"/>
        <w:rPr>
          <w:color w:val="auto"/>
        </w:rPr>
      </w:pPr>
      <w:r w:rsidRPr="00BC658A">
        <w:rPr>
          <w:color w:val="auto"/>
        </w:rPr>
        <w:t>Institutledere, [viceinstitutleder] og institutadministrationschefer</w:t>
      </w:r>
    </w:p>
    <w:p w14:paraId="36FD1B29" w14:textId="77777777" w:rsidR="00B56D11" w:rsidRPr="00BC658A" w:rsidRDefault="00B56D11" w:rsidP="00B56D11">
      <w:pPr>
        <w:pStyle w:val="Listeafsnit"/>
        <w:numPr>
          <w:ilvl w:val="0"/>
          <w:numId w:val="5"/>
        </w:numPr>
        <w:ind w:left="814"/>
        <w:rPr>
          <w:color w:val="auto"/>
        </w:rPr>
      </w:pPr>
      <w:r w:rsidRPr="00BC658A">
        <w:rPr>
          <w:color w:val="auto"/>
        </w:rPr>
        <w:t>Professionshøjskoler:</w:t>
      </w:r>
    </w:p>
    <w:p w14:paraId="2707BF93" w14:textId="77777777" w:rsidR="00B56D11" w:rsidRPr="00BC658A" w:rsidRDefault="00B56D11" w:rsidP="00B56D11">
      <w:pPr>
        <w:pStyle w:val="Listeafsnit"/>
        <w:numPr>
          <w:ilvl w:val="1"/>
          <w:numId w:val="5"/>
        </w:numPr>
        <w:ind w:left="1534"/>
        <w:rPr>
          <w:color w:val="auto"/>
        </w:rPr>
      </w:pPr>
      <w:r w:rsidRPr="00BC658A">
        <w:rPr>
          <w:color w:val="auto"/>
        </w:rPr>
        <w:t>Rektor, prorektor, direktører, dekan, i</w:t>
      </w:r>
      <w:r>
        <w:rPr>
          <w:color w:val="auto"/>
        </w:rPr>
        <w:t>nstitutchef</w:t>
      </w:r>
    </w:p>
    <w:p w14:paraId="6F4D2F69" w14:textId="77777777" w:rsidR="00B56D11" w:rsidRPr="00BC658A" w:rsidRDefault="00B56D11" w:rsidP="00B56D11">
      <w:pPr>
        <w:pStyle w:val="Listeafsnit"/>
        <w:numPr>
          <w:ilvl w:val="0"/>
          <w:numId w:val="5"/>
        </w:numPr>
        <w:ind w:left="814"/>
        <w:rPr>
          <w:color w:val="auto"/>
        </w:rPr>
      </w:pPr>
      <w:r w:rsidRPr="00BC658A">
        <w:rPr>
          <w:color w:val="auto"/>
        </w:rPr>
        <w:t>Erhvervsakademier:</w:t>
      </w:r>
    </w:p>
    <w:p w14:paraId="7F20B425" w14:textId="77777777" w:rsidR="00B56D11" w:rsidRPr="00BC658A" w:rsidRDefault="00B56D11" w:rsidP="00B56D11">
      <w:pPr>
        <w:pStyle w:val="Listeafsnit"/>
        <w:numPr>
          <w:ilvl w:val="1"/>
          <w:numId w:val="5"/>
        </w:numPr>
        <w:ind w:left="1534"/>
        <w:rPr>
          <w:color w:val="auto"/>
        </w:rPr>
      </w:pPr>
      <w:r w:rsidRPr="00BC658A">
        <w:rPr>
          <w:color w:val="auto"/>
        </w:rPr>
        <w:t>Rektor, uddannelsesdirektør, ressourcedirektør</w:t>
      </w:r>
    </w:p>
    <w:p w14:paraId="24ABE9F3" w14:textId="77777777" w:rsidR="00B56D11" w:rsidRPr="00BC658A" w:rsidRDefault="00B56D11" w:rsidP="00B56D11">
      <w:pPr>
        <w:pStyle w:val="Listeafsnit"/>
        <w:numPr>
          <w:ilvl w:val="0"/>
          <w:numId w:val="5"/>
        </w:numPr>
        <w:ind w:left="814"/>
        <w:rPr>
          <w:color w:val="auto"/>
        </w:rPr>
      </w:pPr>
      <w:r w:rsidRPr="00BC658A">
        <w:rPr>
          <w:color w:val="auto"/>
        </w:rPr>
        <w:t>Maritime institutioner</w:t>
      </w:r>
    </w:p>
    <w:p w14:paraId="723AE884" w14:textId="77777777" w:rsidR="00B56D11" w:rsidRPr="00BC658A" w:rsidRDefault="00B56D11" w:rsidP="00B56D11">
      <w:pPr>
        <w:pStyle w:val="Listeafsnit"/>
        <w:numPr>
          <w:ilvl w:val="1"/>
          <w:numId w:val="5"/>
        </w:numPr>
        <w:ind w:left="1534"/>
        <w:rPr>
          <w:color w:val="auto"/>
        </w:rPr>
      </w:pPr>
      <w:r w:rsidRPr="00BC658A">
        <w:rPr>
          <w:color w:val="auto"/>
        </w:rPr>
        <w:t>Rektor, direktør, studierektor</w:t>
      </w:r>
    </w:p>
    <w:p w14:paraId="58F6F69B" w14:textId="77777777" w:rsidR="00B56D11" w:rsidRPr="00BC658A" w:rsidRDefault="00B56D11" w:rsidP="00B56D11">
      <w:pPr>
        <w:pStyle w:val="Listeafsnit"/>
        <w:numPr>
          <w:ilvl w:val="0"/>
          <w:numId w:val="5"/>
        </w:numPr>
        <w:ind w:left="814"/>
        <w:rPr>
          <w:color w:val="auto"/>
        </w:rPr>
      </w:pPr>
      <w:r w:rsidRPr="00BC658A">
        <w:rPr>
          <w:color w:val="auto"/>
        </w:rPr>
        <w:t>Kunstneriske institutioner</w:t>
      </w:r>
    </w:p>
    <w:p w14:paraId="155F6C75" w14:textId="77777777" w:rsidR="00B56D11" w:rsidRPr="00BC658A" w:rsidRDefault="00B56D11" w:rsidP="00B56D11">
      <w:pPr>
        <w:pStyle w:val="Listeafsnit"/>
        <w:ind w:left="1534"/>
        <w:rPr>
          <w:color w:val="auto"/>
        </w:rPr>
      </w:pPr>
      <w:r w:rsidRPr="00BC658A">
        <w:rPr>
          <w:color w:val="auto"/>
        </w:rPr>
        <w:t>Rektor, prorektor</w:t>
      </w:r>
    </w:p>
    <w:p w14:paraId="08D0774F" w14:textId="77777777" w:rsidR="00B56D11" w:rsidRPr="00BC658A" w:rsidRDefault="00B56D11" w:rsidP="00B56D11">
      <w:pPr>
        <w:rPr>
          <w:color w:val="auto"/>
        </w:rPr>
      </w:pPr>
      <w:r w:rsidRPr="00BC658A">
        <w:rPr>
          <w:color w:val="auto"/>
        </w:rPr>
        <w:t xml:space="preserve">Ledelse på enheder som direkte kan henføres til et fagligt formål henføres hertil. </w:t>
      </w:r>
    </w:p>
    <w:p w14:paraId="407DCB05" w14:textId="77777777" w:rsidR="00B56D11" w:rsidRPr="00BC658A" w:rsidRDefault="00B56D11" w:rsidP="00B56D11">
      <w:pPr>
        <w:rPr>
          <w:i/>
          <w:color w:val="auto"/>
        </w:rPr>
      </w:pPr>
    </w:p>
    <w:p w14:paraId="34E256EF" w14:textId="77777777" w:rsidR="00B56D11" w:rsidRPr="00BC658A" w:rsidRDefault="00B56D11" w:rsidP="00B56D11">
      <w:pPr>
        <w:pStyle w:val="Overskrift4"/>
        <w:rPr>
          <w:color w:val="auto"/>
        </w:rPr>
      </w:pPr>
      <w:r w:rsidRPr="00BC658A">
        <w:rPr>
          <w:color w:val="auto"/>
        </w:rPr>
        <w:lastRenderedPageBreak/>
        <w:t>Støttefunktioner</w:t>
      </w:r>
    </w:p>
    <w:p w14:paraId="6A2DD9AD" w14:textId="77777777" w:rsidR="00B56D11" w:rsidRPr="00BC658A" w:rsidRDefault="00B56D11" w:rsidP="00B56D11">
      <w:pPr>
        <w:rPr>
          <w:color w:val="auto"/>
        </w:rPr>
      </w:pPr>
      <w:r w:rsidRPr="00BC658A">
        <w:rPr>
          <w:color w:val="auto"/>
        </w:rPr>
        <w:t xml:space="preserve">Støttefunktioner omfatter lønomkostninger for medarbejdere, som udgør fællesfunktioner og udfører støttefunktionsopgaver vedrørende institutionens overordnede ledelse og drift. Støttefunktioner omfatter desuden lønomkostninger for medarbejdere, der fungerer som støttefunktion for institutionens generelle ledelse (stabsenheder), herunder kontorchefer for støttefunktioner, fx økonomifunktion eller HR-funktion. </w:t>
      </w:r>
    </w:p>
    <w:p w14:paraId="7C04AD4B" w14:textId="77777777" w:rsidR="00B56D11" w:rsidRPr="00BC658A" w:rsidRDefault="00B56D11" w:rsidP="00B56D11">
      <w:pPr>
        <w:rPr>
          <w:color w:val="auto"/>
        </w:rPr>
      </w:pPr>
    </w:p>
    <w:p w14:paraId="5A790237" w14:textId="77777777" w:rsidR="00B56D11" w:rsidRPr="00BC658A" w:rsidRDefault="00B56D11" w:rsidP="00B56D11">
      <w:pPr>
        <w:rPr>
          <w:color w:val="auto"/>
        </w:rPr>
      </w:pPr>
      <w:r w:rsidRPr="00BC658A">
        <w:rPr>
          <w:color w:val="auto"/>
        </w:rPr>
        <w:t>Følgende stillinger indgår som en del af institutionens stabsenheder for den generelle ledelse:</w:t>
      </w:r>
    </w:p>
    <w:p w14:paraId="6F56EE71" w14:textId="77777777" w:rsidR="00B56D11" w:rsidRPr="00BC658A" w:rsidRDefault="00B56D11" w:rsidP="00B56D11">
      <w:pPr>
        <w:pStyle w:val="Opstilling-punkttegn"/>
        <w:rPr>
          <w:color w:val="auto"/>
        </w:rPr>
      </w:pPr>
      <w:r w:rsidRPr="00BC658A">
        <w:rPr>
          <w:color w:val="auto"/>
        </w:rPr>
        <w:t>Ledelsessekretærer</w:t>
      </w:r>
    </w:p>
    <w:p w14:paraId="7506458E" w14:textId="77777777" w:rsidR="00B56D11" w:rsidRPr="00BC658A" w:rsidRDefault="00B56D11" w:rsidP="00B56D11">
      <w:pPr>
        <w:pStyle w:val="Opstilling-punkttegn"/>
        <w:rPr>
          <w:color w:val="auto"/>
        </w:rPr>
      </w:pPr>
      <w:r w:rsidRPr="00BC658A">
        <w:rPr>
          <w:color w:val="auto"/>
        </w:rPr>
        <w:t>Direktionssekretærer</w:t>
      </w:r>
    </w:p>
    <w:p w14:paraId="0CA756FE" w14:textId="77777777" w:rsidR="00B56D11" w:rsidRPr="00BC658A" w:rsidRDefault="00B56D11" w:rsidP="00B56D11">
      <w:pPr>
        <w:pStyle w:val="Opstilling-punkttegn"/>
        <w:rPr>
          <w:color w:val="auto"/>
        </w:rPr>
      </w:pPr>
      <w:r w:rsidRPr="00BC658A">
        <w:rPr>
          <w:color w:val="auto"/>
        </w:rPr>
        <w:t>Pressemedarbejdere</w:t>
      </w:r>
    </w:p>
    <w:p w14:paraId="0AC1123D" w14:textId="77777777" w:rsidR="00B56D11" w:rsidRPr="00BC658A" w:rsidRDefault="00B56D11" w:rsidP="00B56D11">
      <w:pPr>
        <w:pStyle w:val="Opstilling-punkttegn"/>
        <w:rPr>
          <w:color w:val="auto"/>
        </w:rPr>
      </w:pPr>
      <w:r w:rsidRPr="00BC658A">
        <w:rPr>
          <w:color w:val="auto"/>
        </w:rPr>
        <w:t>Medarbejdere i ledelsessekretariatet inkl. Sekretariatschef</w:t>
      </w:r>
    </w:p>
    <w:p w14:paraId="2BE557F9" w14:textId="77777777" w:rsidR="00B56D11" w:rsidRPr="00BC658A" w:rsidRDefault="00B56D11" w:rsidP="00B56D11">
      <w:pPr>
        <w:pStyle w:val="Opstilling-punkttegn"/>
        <w:rPr>
          <w:color w:val="auto"/>
        </w:rPr>
      </w:pPr>
      <w:r w:rsidRPr="00BC658A">
        <w:rPr>
          <w:color w:val="auto"/>
        </w:rPr>
        <w:t>Økonomimedarbejdere</w:t>
      </w:r>
    </w:p>
    <w:p w14:paraId="186CAC93" w14:textId="77777777" w:rsidR="00B56D11" w:rsidRPr="00BC658A" w:rsidRDefault="00B56D11" w:rsidP="00B56D11">
      <w:pPr>
        <w:pStyle w:val="Opstilling-punkttegn"/>
        <w:rPr>
          <w:color w:val="auto"/>
        </w:rPr>
      </w:pPr>
      <w:r w:rsidRPr="00BC658A">
        <w:rPr>
          <w:color w:val="auto"/>
        </w:rPr>
        <w:t>HR-medarbejdere</w:t>
      </w:r>
    </w:p>
    <w:p w14:paraId="1C2530F6" w14:textId="77777777" w:rsidR="00B56D11" w:rsidRPr="00BC658A" w:rsidRDefault="00B56D11" w:rsidP="00B56D11">
      <w:pPr>
        <w:pStyle w:val="Opstilling-punkttegn"/>
        <w:rPr>
          <w:color w:val="auto"/>
        </w:rPr>
      </w:pPr>
      <w:r w:rsidRPr="00BC658A">
        <w:rPr>
          <w:color w:val="auto"/>
        </w:rPr>
        <w:t>Kontorchefer for økonomi- og HR-funktioner</w:t>
      </w:r>
    </w:p>
    <w:p w14:paraId="59D411A0" w14:textId="77777777" w:rsidR="00B56D11" w:rsidRPr="00BC658A" w:rsidRDefault="00B56D11" w:rsidP="00B56D11">
      <w:pPr>
        <w:pStyle w:val="Overskrift4"/>
        <w:rPr>
          <w:color w:val="auto"/>
        </w:rPr>
      </w:pPr>
      <w:r w:rsidRPr="00BC658A">
        <w:rPr>
          <w:color w:val="auto"/>
        </w:rPr>
        <w:t>Servicefunktioner</w:t>
      </w:r>
    </w:p>
    <w:p w14:paraId="37B5132C" w14:textId="77777777" w:rsidR="00B56D11" w:rsidRPr="00BC658A" w:rsidRDefault="00B56D11" w:rsidP="00B56D11">
      <w:pPr>
        <w:rPr>
          <w:color w:val="auto"/>
        </w:rPr>
      </w:pPr>
      <w:r w:rsidRPr="00BC658A">
        <w:rPr>
          <w:color w:val="auto"/>
        </w:rPr>
        <w:t>Servicefunktioner udfører overordnede serviceopgaver som for eksempel mødeservice, reception mv. De kan derfor ikke henføres direkte til et fagligt formål. Ansatte i servicefunktioner omfatter:</w:t>
      </w:r>
    </w:p>
    <w:p w14:paraId="38AD55FA" w14:textId="77777777" w:rsidR="00B56D11" w:rsidRPr="00BC658A" w:rsidRDefault="00B56D11" w:rsidP="00B56D11">
      <w:pPr>
        <w:pStyle w:val="Opstilling-punkttegn"/>
        <w:rPr>
          <w:color w:val="auto"/>
        </w:rPr>
      </w:pPr>
      <w:r w:rsidRPr="00BC658A">
        <w:rPr>
          <w:color w:val="auto"/>
        </w:rPr>
        <w:t>Receptionister</w:t>
      </w:r>
    </w:p>
    <w:p w14:paraId="6CC82D3C" w14:textId="77777777" w:rsidR="00B56D11" w:rsidRPr="00BC658A" w:rsidRDefault="00B56D11" w:rsidP="00B56D11">
      <w:pPr>
        <w:pStyle w:val="Opstilling-punkttegn"/>
        <w:rPr>
          <w:color w:val="auto"/>
        </w:rPr>
      </w:pPr>
      <w:r w:rsidRPr="00BC658A">
        <w:rPr>
          <w:color w:val="auto"/>
        </w:rPr>
        <w:t>Mødeservice og kantinemedarbejdere</w:t>
      </w:r>
    </w:p>
    <w:p w14:paraId="567C59B2" w14:textId="77777777" w:rsidR="00B56D11" w:rsidRPr="00BC658A" w:rsidRDefault="00B56D11" w:rsidP="00B56D11">
      <w:pPr>
        <w:pStyle w:val="Opstilling-punkttegn"/>
        <w:rPr>
          <w:color w:val="auto"/>
        </w:rPr>
      </w:pPr>
      <w:r w:rsidRPr="00BC658A">
        <w:rPr>
          <w:color w:val="auto"/>
        </w:rPr>
        <w:t>IT-support</w:t>
      </w:r>
    </w:p>
    <w:p w14:paraId="7B89E816" w14:textId="77777777" w:rsidR="00B56D11" w:rsidRPr="00BC658A" w:rsidRDefault="00B56D11" w:rsidP="00B56D11">
      <w:pPr>
        <w:pStyle w:val="Opstilling-punkttegn"/>
        <w:rPr>
          <w:color w:val="auto"/>
        </w:rPr>
      </w:pPr>
      <w:r w:rsidRPr="00BC658A">
        <w:rPr>
          <w:color w:val="auto"/>
        </w:rPr>
        <w:t>Indkøb</w:t>
      </w:r>
    </w:p>
    <w:p w14:paraId="74999FCE" w14:textId="77777777" w:rsidR="00B56D11" w:rsidRPr="00BC658A" w:rsidRDefault="00B56D11" w:rsidP="00B56D11">
      <w:pPr>
        <w:pStyle w:val="Opstilling-punkttegn"/>
        <w:rPr>
          <w:color w:val="auto"/>
        </w:rPr>
      </w:pPr>
      <w:r w:rsidRPr="00BC658A">
        <w:rPr>
          <w:color w:val="auto"/>
        </w:rPr>
        <w:t>Kommunikation</w:t>
      </w:r>
    </w:p>
    <w:p w14:paraId="44949FF1" w14:textId="77777777" w:rsidR="00B56D11" w:rsidRPr="00BC658A" w:rsidRDefault="00B56D11" w:rsidP="00B56D11">
      <w:pPr>
        <w:pStyle w:val="Opstilling-punkttegn"/>
        <w:rPr>
          <w:color w:val="auto"/>
        </w:rPr>
      </w:pPr>
      <w:r w:rsidRPr="00BC658A">
        <w:rPr>
          <w:color w:val="auto"/>
        </w:rPr>
        <w:t>Administration af andre institutioner uden betaling</w:t>
      </w:r>
    </w:p>
    <w:p w14:paraId="14C8AF01" w14:textId="77777777" w:rsidR="00B56D11" w:rsidRPr="00BC658A" w:rsidRDefault="00B56D11" w:rsidP="00B56D11">
      <w:pPr>
        <w:pStyle w:val="Opstilling-punkttegn"/>
        <w:rPr>
          <w:color w:val="auto"/>
        </w:rPr>
      </w:pPr>
      <w:r w:rsidRPr="00BC658A">
        <w:rPr>
          <w:color w:val="auto"/>
        </w:rPr>
        <w:t>Rejse- og personaleadministration</w:t>
      </w:r>
    </w:p>
    <w:p w14:paraId="71EE73A8" w14:textId="77777777" w:rsidR="00B56D11" w:rsidRPr="00BC658A" w:rsidRDefault="00B56D11" w:rsidP="00B56D11">
      <w:pPr>
        <w:pStyle w:val="Opstilling-punkttegn"/>
        <w:rPr>
          <w:color w:val="auto"/>
        </w:rPr>
      </w:pPr>
      <w:r w:rsidRPr="00BC658A">
        <w:rPr>
          <w:color w:val="auto"/>
        </w:rPr>
        <w:t>Arkiv og journalisering</w:t>
      </w:r>
    </w:p>
    <w:p w14:paraId="63D7DA02" w14:textId="77777777" w:rsidR="00B56D11" w:rsidRPr="00BC658A" w:rsidRDefault="00B56D11" w:rsidP="00B56D11">
      <w:pPr>
        <w:pStyle w:val="Opstilling-punkttegn"/>
        <w:rPr>
          <w:color w:val="auto"/>
        </w:rPr>
      </w:pPr>
      <w:r w:rsidRPr="00BC658A">
        <w:rPr>
          <w:color w:val="auto"/>
        </w:rPr>
        <w:t xml:space="preserve">Revision (institutionsrevisor) </w:t>
      </w:r>
    </w:p>
    <w:p w14:paraId="6AD360CE" w14:textId="77777777" w:rsidR="00B56D11" w:rsidRPr="00BC658A" w:rsidRDefault="00B56D11" w:rsidP="00B56D11">
      <w:pPr>
        <w:pStyle w:val="Opstilling-punkttegn"/>
        <w:rPr>
          <w:color w:val="auto"/>
        </w:rPr>
      </w:pPr>
      <w:r w:rsidRPr="00BC658A">
        <w:rPr>
          <w:color w:val="auto"/>
        </w:rPr>
        <w:t>Arbejdsmiljørepræsentanter, ergoterapeuter</w:t>
      </w:r>
    </w:p>
    <w:p w14:paraId="4A35B61F" w14:textId="77777777" w:rsidR="00B56D11" w:rsidRPr="00BC658A" w:rsidRDefault="00B56D11" w:rsidP="00B56D11">
      <w:pPr>
        <w:pStyle w:val="Overskrift4"/>
        <w:rPr>
          <w:color w:val="auto"/>
        </w:rPr>
      </w:pPr>
      <w:r w:rsidRPr="00BC658A">
        <w:rPr>
          <w:color w:val="auto"/>
        </w:rPr>
        <w:t>Fælles driftsomkostninger</w:t>
      </w:r>
    </w:p>
    <w:p w14:paraId="0998A3B3" w14:textId="77777777" w:rsidR="00B56D11" w:rsidRPr="00BC658A" w:rsidRDefault="00B56D11" w:rsidP="00B56D11">
      <w:pPr>
        <w:rPr>
          <w:color w:val="auto"/>
        </w:rPr>
      </w:pPr>
      <w:r w:rsidRPr="00BC658A">
        <w:rPr>
          <w:color w:val="auto"/>
        </w:rPr>
        <w:t xml:space="preserve">Formålet omfatter videre fælles driftsomkostninger til kontorhold, IT og øvrig administration, dvs. fælles driftsomkostninger som ikke vedrører institutionens fysiske rammer, da disse henføres til bygningsomkostninger. Driftsomkostninger for generel ledelse og støttefunktioner omfatter eksempelvis omkostninger til rejser samt kurser og konferencer for den generelle ledelse og støttefunktionerne. </w:t>
      </w:r>
    </w:p>
    <w:p w14:paraId="3FCCB4BD" w14:textId="77777777" w:rsidR="00B56D11" w:rsidRPr="00BC658A" w:rsidRDefault="00B56D11" w:rsidP="00B56D11">
      <w:pPr>
        <w:pStyle w:val="Overskrift4"/>
        <w:rPr>
          <w:color w:val="auto"/>
        </w:rPr>
      </w:pPr>
      <w:r w:rsidRPr="00BC658A">
        <w:rPr>
          <w:color w:val="auto"/>
        </w:rPr>
        <w:t>Administrative fællesskaber</w:t>
      </w:r>
    </w:p>
    <w:p w14:paraId="2B3E7EAB" w14:textId="77777777" w:rsidR="00B56D11" w:rsidRPr="00BC658A" w:rsidRDefault="00B56D11" w:rsidP="00B56D11">
      <w:pPr>
        <w:tabs>
          <w:tab w:val="clear" w:pos="454"/>
        </w:tabs>
        <w:autoSpaceDE w:val="0"/>
        <w:autoSpaceDN w:val="0"/>
        <w:adjustRightInd w:val="0"/>
        <w:rPr>
          <w:color w:val="auto"/>
        </w:rPr>
      </w:pPr>
      <w:r w:rsidRPr="00BC658A">
        <w:rPr>
          <w:color w:val="auto"/>
        </w:rPr>
        <w:t xml:space="preserve">Formålet omfatter desuden aktiviteter udført i henhold til Bekendtgørelse om administrative fællesskaber mellem uddannelsesinstitutioner, BEK </w:t>
      </w:r>
      <w:proofErr w:type="spellStart"/>
      <w:r w:rsidRPr="00BC658A">
        <w:rPr>
          <w:color w:val="auto"/>
        </w:rPr>
        <w:t>nr</w:t>
      </w:r>
      <w:proofErr w:type="spellEnd"/>
      <w:r w:rsidRPr="00BC658A">
        <w:rPr>
          <w:color w:val="auto"/>
        </w:rPr>
        <w:t xml:space="preserve"> 158 af 19/02/2009 (Professionshøjskoler inkl. DMJX og erhvervsakademier), samt lignende samarbejder mellem andre videregående uddannelsesinstitutioner.</w:t>
      </w:r>
    </w:p>
    <w:p w14:paraId="178E2EF4" w14:textId="77777777" w:rsidR="00B56D11" w:rsidRPr="00BC658A" w:rsidRDefault="00B56D11" w:rsidP="00B56D11">
      <w:pPr>
        <w:tabs>
          <w:tab w:val="clear" w:pos="454"/>
        </w:tabs>
        <w:autoSpaceDE w:val="0"/>
        <w:autoSpaceDN w:val="0"/>
        <w:adjustRightInd w:val="0"/>
        <w:rPr>
          <w:color w:val="auto"/>
        </w:rPr>
      </w:pPr>
      <w:r w:rsidRPr="00BC658A" w:rsidDel="00CB13D5">
        <w:rPr>
          <w:color w:val="auto"/>
        </w:rPr>
        <w:t xml:space="preserve"> </w:t>
      </w:r>
    </w:p>
    <w:p w14:paraId="44AC0F65" w14:textId="77777777" w:rsidR="00B56D11" w:rsidRPr="00BC658A" w:rsidRDefault="00B56D11" w:rsidP="00B56D11">
      <w:pPr>
        <w:tabs>
          <w:tab w:val="clear" w:pos="454"/>
        </w:tabs>
        <w:autoSpaceDE w:val="0"/>
        <w:autoSpaceDN w:val="0"/>
        <w:adjustRightInd w:val="0"/>
        <w:rPr>
          <w:color w:val="auto"/>
        </w:rPr>
      </w:pPr>
      <w:r w:rsidRPr="00BC658A">
        <w:rPr>
          <w:color w:val="auto"/>
        </w:rPr>
        <w:t>De administrative fællesskaber mv. indgås mellem to eller flere institutioner, hvor én institution sig påtager rollen som værtsinstitution og mod betaling varetager administrative opgaver for de øvrige deltagerinstitutioner.</w:t>
      </w:r>
    </w:p>
    <w:p w14:paraId="17D77DD8" w14:textId="77777777" w:rsidR="00B56D11" w:rsidRPr="00BC658A" w:rsidRDefault="00B56D11" w:rsidP="00B56D11">
      <w:pPr>
        <w:tabs>
          <w:tab w:val="clear" w:pos="454"/>
        </w:tabs>
        <w:autoSpaceDE w:val="0"/>
        <w:autoSpaceDN w:val="0"/>
        <w:adjustRightInd w:val="0"/>
        <w:rPr>
          <w:color w:val="auto"/>
        </w:rPr>
      </w:pPr>
    </w:p>
    <w:p w14:paraId="41038D61" w14:textId="77777777" w:rsidR="00B56D11" w:rsidRPr="00BC658A" w:rsidRDefault="00B56D11" w:rsidP="00B56D11">
      <w:pPr>
        <w:tabs>
          <w:tab w:val="clear" w:pos="454"/>
        </w:tabs>
        <w:autoSpaceDE w:val="0"/>
        <w:autoSpaceDN w:val="0"/>
        <w:adjustRightInd w:val="0"/>
        <w:rPr>
          <w:color w:val="auto"/>
        </w:rPr>
      </w:pPr>
      <w:r w:rsidRPr="00BC658A">
        <w:rPr>
          <w:color w:val="auto"/>
        </w:rPr>
        <w:t>Værtsinstitutioner, samt øvrige institutioner der varetager administrative opgaver for andre institutioner, konterer omkostninger hertil samt betaling fra deltagerinstitutioner på formål 6. Generelle fællesomkostninger</w:t>
      </w:r>
    </w:p>
    <w:p w14:paraId="405387C6" w14:textId="77777777" w:rsidR="00B56D11" w:rsidRPr="00BC658A" w:rsidRDefault="00B56D11" w:rsidP="00B56D11">
      <w:pPr>
        <w:tabs>
          <w:tab w:val="clear" w:pos="454"/>
        </w:tabs>
        <w:autoSpaceDE w:val="0"/>
        <w:autoSpaceDN w:val="0"/>
        <w:adjustRightInd w:val="0"/>
        <w:rPr>
          <w:color w:val="auto"/>
        </w:rPr>
      </w:pPr>
    </w:p>
    <w:p w14:paraId="5F8C7FFC" w14:textId="77777777" w:rsidR="00B56D11" w:rsidRPr="00BC658A" w:rsidRDefault="00B56D11" w:rsidP="00B56D11">
      <w:pPr>
        <w:tabs>
          <w:tab w:val="clear" w:pos="454"/>
        </w:tabs>
        <w:autoSpaceDE w:val="0"/>
        <w:autoSpaceDN w:val="0"/>
        <w:adjustRightInd w:val="0"/>
        <w:rPr>
          <w:color w:val="auto"/>
        </w:rPr>
      </w:pPr>
      <w:r w:rsidRPr="00BC658A">
        <w:rPr>
          <w:color w:val="auto"/>
        </w:rPr>
        <w:lastRenderedPageBreak/>
        <w:t>De deltagende institutioner i administrative fællesskaber, samt øvrige institutioner der får varetaget administrative opgaver af andre institutioner, konterer tilsvarende omkostninger hertil i form af betaling til værtsinstitutionen på det relevante formål (6 Generelle fællesomkostninger)</w:t>
      </w:r>
    </w:p>
    <w:p w14:paraId="2C16C435" w14:textId="77777777" w:rsidR="00B56D11" w:rsidRPr="00BC658A" w:rsidRDefault="00B56D11" w:rsidP="00B56D11">
      <w:pPr>
        <w:pStyle w:val="Overskrift4"/>
        <w:rPr>
          <w:color w:val="auto"/>
        </w:rPr>
      </w:pPr>
      <w:r w:rsidRPr="00BC658A">
        <w:rPr>
          <w:color w:val="auto"/>
        </w:rPr>
        <w:t>Særlige forhold</w:t>
      </w:r>
    </w:p>
    <w:p w14:paraId="0072010C" w14:textId="77777777" w:rsidR="00B56D11" w:rsidRPr="00BC658A" w:rsidRDefault="00B56D11" w:rsidP="00B56D11">
      <w:pPr>
        <w:tabs>
          <w:tab w:val="clear" w:pos="454"/>
        </w:tabs>
        <w:autoSpaceDE w:val="0"/>
        <w:autoSpaceDN w:val="0"/>
        <w:adjustRightInd w:val="0"/>
        <w:rPr>
          <w:color w:val="auto"/>
        </w:rPr>
      </w:pPr>
      <w:r w:rsidRPr="00BC658A">
        <w:rPr>
          <w:color w:val="auto"/>
        </w:rPr>
        <w:t>Følgende samarbejder mv. anses i denne sammenhæng for administrative fællesskaber:</w:t>
      </w:r>
    </w:p>
    <w:p w14:paraId="309ECA08" w14:textId="77777777" w:rsidR="00B56D11" w:rsidRPr="00BC658A" w:rsidRDefault="00B56D11" w:rsidP="00B56D11">
      <w:pPr>
        <w:pStyle w:val="Opstilling-punkttegn"/>
        <w:rPr>
          <w:color w:val="auto"/>
        </w:rPr>
      </w:pPr>
      <w:r w:rsidRPr="00BC658A">
        <w:rPr>
          <w:color w:val="auto"/>
        </w:rPr>
        <w:t>ØSS-samarbejdet på universiteterne</w:t>
      </w:r>
    </w:p>
    <w:p w14:paraId="56B94FE0" w14:textId="77777777" w:rsidR="00B56D11" w:rsidRPr="00BC658A" w:rsidRDefault="00B56D11" w:rsidP="00B56D11">
      <w:pPr>
        <w:pStyle w:val="Opstilling-punkttegn"/>
        <w:rPr>
          <w:color w:val="auto"/>
        </w:rPr>
      </w:pPr>
      <w:r w:rsidRPr="00BC658A">
        <w:rPr>
          <w:color w:val="auto"/>
        </w:rPr>
        <w:t xml:space="preserve">Danmarks Tekniske Universitets varetagelse af administrative funktioner for </w:t>
      </w:r>
      <w:proofErr w:type="spellStart"/>
      <w:r w:rsidRPr="00BC658A">
        <w:rPr>
          <w:color w:val="auto"/>
        </w:rPr>
        <w:t>DeIC</w:t>
      </w:r>
      <w:proofErr w:type="spellEnd"/>
    </w:p>
    <w:p w14:paraId="1E3A27D8" w14:textId="77777777" w:rsidR="00B56D11" w:rsidRPr="00BC658A" w:rsidRDefault="00B56D11" w:rsidP="00B56D11">
      <w:pPr>
        <w:pStyle w:val="Opstilling-punkttegn"/>
        <w:rPr>
          <w:color w:val="auto"/>
        </w:rPr>
      </w:pPr>
      <w:r w:rsidRPr="00BC658A">
        <w:rPr>
          <w:color w:val="auto"/>
        </w:rPr>
        <w:t>Danmarks Tekniske Universitets modtagelse af tilskud hhv. afholdelse af omkostninger til Danske Universiteter</w:t>
      </w:r>
    </w:p>
    <w:p w14:paraId="381754FF" w14:textId="77777777" w:rsidR="00B56D11" w:rsidRPr="00BC658A" w:rsidRDefault="00B56D11" w:rsidP="00B56D11">
      <w:pPr>
        <w:pStyle w:val="Opstilling-punkttegn"/>
        <w:rPr>
          <w:rFonts w:ascii="Calibri" w:hAnsi="Calibri" w:cs="Calibri"/>
          <w:color w:val="auto"/>
          <w:sz w:val="16"/>
          <w:szCs w:val="16"/>
        </w:rPr>
      </w:pPr>
      <w:r w:rsidRPr="00BC658A">
        <w:rPr>
          <w:color w:val="auto"/>
        </w:rPr>
        <w:t>SDC-sekretariatet ved Aarhus Universitet</w:t>
      </w:r>
    </w:p>
    <w:p w14:paraId="72249812" w14:textId="77777777" w:rsidR="00B56D11" w:rsidRPr="00BC658A" w:rsidRDefault="00B56D11" w:rsidP="00B56D11">
      <w:pPr>
        <w:pStyle w:val="Opstilling-punkttegn"/>
        <w:rPr>
          <w:rFonts w:ascii="Calibri" w:hAnsi="Calibri" w:cs="Calibri"/>
          <w:color w:val="auto"/>
          <w:sz w:val="16"/>
          <w:szCs w:val="16"/>
        </w:rPr>
      </w:pPr>
      <w:r w:rsidRPr="00BC658A">
        <w:rPr>
          <w:color w:val="auto"/>
        </w:rPr>
        <w:t xml:space="preserve">Sekretariatsfunktioner for ph.d.-rådet vedrørende uddannelsesforskning </w:t>
      </w:r>
    </w:p>
    <w:p w14:paraId="00EAD7CA" w14:textId="77777777" w:rsidR="00B56D11" w:rsidRPr="00BC658A" w:rsidRDefault="00B56D11" w:rsidP="00B56D11">
      <w:pPr>
        <w:pStyle w:val="Opstilling-punkttegn"/>
        <w:numPr>
          <w:ilvl w:val="0"/>
          <w:numId w:val="0"/>
        </w:numPr>
        <w:ind w:left="720" w:hanging="360"/>
        <w:rPr>
          <w:color w:val="auto"/>
        </w:rPr>
      </w:pPr>
    </w:p>
    <w:p w14:paraId="4C650D90" w14:textId="77777777" w:rsidR="00B56D11" w:rsidRPr="00BC658A" w:rsidRDefault="00B56D11" w:rsidP="00B56D11">
      <w:pPr>
        <w:rPr>
          <w:i/>
          <w:color w:val="auto"/>
        </w:rPr>
      </w:pPr>
      <w:r w:rsidRPr="00BC658A">
        <w:rPr>
          <w:i/>
          <w:color w:val="auto"/>
          <w:highlight w:val="lightGray"/>
        </w:rPr>
        <w:t>[Principper vedrørende tværgående sekretariatsarbejde (fx ØSS), administrative fællesskaber mv. beskrives af SIU]</w:t>
      </w:r>
    </w:p>
    <w:p w14:paraId="5BC63B75" w14:textId="77777777" w:rsidR="00B56D11" w:rsidRPr="00BC658A" w:rsidRDefault="00B56D11" w:rsidP="00B56D11">
      <w:pPr>
        <w:rPr>
          <w:b/>
          <w:i/>
          <w:color w:val="auto"/>
          <w:sz w:val="20"/>
          <w:szCs w:val="20"/>
        </w:rPr>
      </w:pPr>
    </w:p>
    <w:p w14:paraId="5EE3DD41" w14:textId="77777777" w:rsidR="00B56D11" w:rsidRPr="00BC658A" w:rsidRDefault="00B56D11" w:rsidP="00B56D11">
      <w:pPr>
        <w:rPr>
          <w:b/>
          <w:i/>
          <w:color w:val="auto"/>
          <w:sz w:val="20"/>
          <w:szCs w:val="20"/>
        </w:rPr>
      </w:pPr>
      <w:r w:rsidRPr="00BC658A">
        <w:rPr>
          <w:b/>
          <w:i/>
          <w:color w:val="auto"/>
          <w:sz w:val="20"/>
          <w:szCs w:val="20"/>
        </w:rPr>
        <w:t>Ikke omfattet af formålet</w:t>
      </w:r>
    </w:p>
    <w:p w14:paraId="66ABFA13" w14:textId="77777777" w:rsidR="00B56D11" w:rsidRPr="00BC658A" w:rsidRDefault="00B56D11" w:rsidP="00B56D11">
      <w:pPr>
        <w:rPr>
          <w:color w:val="auto"/>
        </w:rPr>
      </w:pPr>
      <w:r w:rsidRPr="00BC658A">
        <w:rPr>
          <w:color w:val="auto"/>
        </w:rPr>
        <w:t xml:space="preserve">Den formålsrettede administration – studieadministration, administration af forskning og udvikling mv. – er ikke omfattet af de generelle fællesomkostninger, men registreres på det pågældende faglige formål, jf. formål 1-5. </w:t>
      </w:r>
    </w:p>
    <w:p w14:paraId="6EA5A795" w14:textId="77777777" w:rsidR="00B56D11" w:rsidRPr="00BC658A" w:rsidRDefault="00B56D11" w:rsidP="00B56D11">
      <w:pPr>
        <w:rPr>
          <w:color w:val="auto"/>
        </w:rPr>
      </w:pPr>
    </w:p>
    <w:p w14:paraId="641AE28F" w14:textId="77777777" w:rsidR="00B56D11" w:rsidRPr="00BC658A" w:rsidRDefault="00B56D11" w:rsidP="00B56D11">
      <w:pPr>
        <w:rPr>
          <w:color w:val="auto"/>
        </w:rPr>
      </w:pPr>
      <w:r w:rsidRPr="00BC658A">
        <w:rPr>
          <w:color w:val="auto"/>
        </w:rPr>
        <w:t>Bygningsomkostninger er ikke en del af generelle fællesomkostninger, men opgøres særskilt under formål bygninger og bygningsdrift, jf. også nedenstående afsnit 5.7. Ligeledes omfattes omkostninger til vedligeholdelse af institutionens fysiske rammer, inkl. husleje, vand, varme, el mv., ikke af de generelle fællesomkostninger, men registreres på formål 7 Bygninger og bygningsdrift.</w:t>
      </w:r>
    </w:p>
    <w:p w14:paraId="76726349" w14:textId="77777777" w:rsidR="00B56D11" w:rsidRPr="00BC658A" w:rsidRDefault="00B56D11" w:rsidP="00B56D11">
      <w:pPr>
        <w:rPr>
          <w:color w:val="auto"/>
        </w:rPr>
      </w:pPr>
    </w:p>
    <w:p w14:paraId="1D57D178" w14:textId="77777777" w:rsidR="00B56D11" w:rsidRPr="00BC658A" w:rsidRDefault="00B56D11" w:rsidP="00B56D11">
      <w:pPr>
        <w:tabs>
          <w:tab w:val="clear" w:pos="454"/>
        </w:tabs>
        <w:rPr>
          <w:color w:val="auto"/>
        </w:rPr>
      </w:pPr>
    </w:p>
    <w:p w14:paraId="4D0BBC70" w14:textId="77777777" w:rsidR="00B56D11" w:rsidRPr="00BC658A" w:rsidRDefault="00B56D11" w:rsidP="00B56D11">
      <w:pPr>
        <w:pStyle w:val="Listeafsnit"/>
        <w:numPr>
          <w:ilvl w:val="1"/>
          <w:numId w:val="8"/>
        </w:numPr>
        <w:rPr>
          <w:b/>
          <w:color w:val="auto"/>
        </w:rPr>
      </w:pPr>
      <w:r w:rsidRPr="00BC658A">
        <w:rPr>
          <w:b/>
          <w:color w:val="auto"/>
        </w:rPr>
        <w:t xml:space="preserve">Bygninger og bygningsdrift </w:t>
      </w:r>
      <w:bookmarkStart w:id="127" w:name="_Toc514319798"/>
      <w:bookmarkStart w:id="128" w:name="_Toc514319799"/>
      <w:bookmarkEnd w:id="127"/>
      <w:bookmarkEnd w:id="128"/>
    </w:p>
    <w:p w14:paraId="5648F857" w14:textId="77777777" w:rsidR="00B56D11" w:rsidRPr="00BC658A" w:rsidRDefault="00B56D11" w:rsidP="00B56D11">
      <w:pPr>
        <w:pStyle w:val="Listeafsnit"/>
        <w:numPr>
          <w:ilvl w:val="2"/>
          <w:numId w:val="8"/>
        </w:numPr>
        <w:rPr>
          <w:b/>
          <w:color w:val="auto"/>
        </w:rPr>
      </w:pPr>
      <w:bookmarkStart w:id="129" w:name="_Toc514319801"/>
      <w:r w:rsidRPr="00BC658A">
        <w:rPr>
          <w:b/>
          <w:color w:val="auto"/>
        </w:rPr>
        <w:t>Definition</w:t>
      </w:r>
      <w:bookmarkEnd w:id="129"/>
      <w:r w:rsidRPr="00BC658A">
        <w:rPr>
          <w:b/>
          <w:color w:val="auto"/>
        </w:rPr>
        <w:t xml:space="preserve"> </w:t>
      </w:r>
    </w:p>
    <w:p w14:paraId="486C11C6" w14:textId="77777777" w:rsidR="00B56D11" w:rsidRPr="00BC658A" w:rsidRDefault="00B56D11" w:rsidP="00B56D11">
      <w:pPr>
        <w:rPr>
          <w:color w:val="auto"/>
        </w:rPr>
      </w:pPr>
      <w:r w:rsidRPr="00BC658A">
        <w:rPr>
          <w:color w:val="auto"/>
        </w:rPr>
        <w:t xml:space="preserve">Formålet ’Bygninger og bygningsdrift’ relaterer sig til omkostninger knyttet direkte til en bygning eller den løbende drift og vedligeholdelse af denne. Det kan f.eks. være husleje, afskrivning, forrentning af lån, vand, varme, vedligeholdelse, rengøring, løn til medarbejdere der arbejder med drift af bygninger, </w:t>
      </w:r>
      <w:proofErr w:type="spellStart"/>
      <w:r w:rsidRPr="00BC658A">
        <w:rPr>
          <w:color w:val="auto"/>
        </w:rPr>
        <w:t>facility</w:t>
      </w:r>
      <w:proofErr w:type="spellEnd"/>
      <w:r w:rsidRPr="00BC658A">
        <w:rPr>
          <w:color w:val="auto"/>
        </w:rPr>
        <w:t xml:space="preserve"> management mv. </w:t>
      </w:r>
    </w:p>
    <w:p w14:paraId="74F2AF8B" w14:textId="77777777" w:rsidR="00B56D11" w:rsidRPr="00BC658A" w:rsidRDefault="00B56D11" w:rsidP="00B56D11">
      <w:pPr>
        <w:rPr>
          <w:color w:val="auto"/>
        </w:rPr>
      </w:pPr>
    </w:p>
    <w:p w14:paraId="1D4566CD" w14:textId="77777777" w:rsidR="00B56D11" w:rsidRPr="00BC658A" w:rsidRDefault="00B56D11" w:rsidP="00B56D11">
      <w:pPr>
        <w:pStyle w:val="Kommentartekst"/>
        <w:rPr>
          <w:color w:val="auto"/>
          <w:sz w:val="19"/>
          <w:szCs w:val="19"/>
        </w:rPr>
      </w:pPr>
      <w:r w:rsidRPr="00BC658A">
        <w:rPr>
          <w:color w:val="auto"/>
          <w:sz w:val="19"/>
          <w:szCs w:val="19"/>
        </w:rPr>
        <w:t xml:space="preserve">Under Bygningsformålet indgår nagelfast inventar og udstyr, samt ikke nagelfast inventar som bunkes ved indkøb og afskrives over levetiden. Herudover indgår al ikke nagelfast inventar som indkøbes i forbindelse med </w:t>
      </w:r>
      <w:proofErr w:type="spellStart"/>
      <w:r w:rsidRPr="00BC658A">
        <w:rPr>
          <w:color w:val="auto"/>
          <w:sz w:val="19"/>
          <w:szCs w:val="19"/>
        </w:rPr>
        <w:t>nyindretning</w:t>
      </w:r>
      <w:proofErr w:type="spellEnd"/>
      <w:r w:rsidRPr="00BC658A">
        <w:rPr>
          <w:color w:val="auto"/>
          <w:sz w:val="19"/>
          <w:szCs w:val="19"/>
        </w:rPr>
        <w:t>.</w:t>
      </w:r>
    </w:p>
    <w:p w14:paraId="0A859154" w14:textId="77777777" w:rsidR="00B56D11" w:rsidRPr="00BC658A" w:rsidRDefault="00B56D11" w:rsidP="00B56D11">
      <w:pPr>
        <w:pStyle w:val="Kommentartekst"/>
        <w:rPr>
          <w:color w:val="auto"/>
          <w:sz w:val="19"/>
          <w:szCs w:val="19"/>
        </w:rPr>
      </w:pPr>
    </w:p>
    <w:p w14:paraId="4125089A" w14:textId="77777777" w:rsidR="00B56D11" w:rsidRPr="00BC658A" w:rsidRDefault="00B56D11" w:rsidP="00B56D11">
      <w:pPr>
        <w:pStyle w:val="Kommentartekst"/>
        <w:rPr>
          <w:color w:val="auto"/>
          <w:sz w:val="19"/>
          <w:szCs w:val="19"/>
        </w:rPr>
      </w:pPr>
      <w:r w:rsidRPr="00BC658A">
        <w:rPr>
          <w:color w:val="auto"/>
          <w:sz w:val="19"/>
          <w:szCs w:val="19"/>
        </w:rPr>
        <w:t xml:space="preserve">Under Generelle fællesomkostninger indgår ikke-nagelfast inventar som købes som småindkøb, der </w:t>
      </w:r>
      <w:proofErr w:type="spellStart"/>
      <w:r w:rsidRPr="00BC658A">
        <w:rPr>
          <w:color w:val="auto"/>
          <w:sz w:val="19"/>
          <w:szCs w:val="19"/>
        </w:rPr>
        <w:t>straksafskrives</w:t>
      </w:r>
      <w:proofErr w:type="spellEnd"/>
      <w:r w:rsidRPr="00BC658A">
        <w:rPr>
          <w:color w:val="auto"/>
          <w:sz w:val="19"/>
          <w:szCs w:val="19"/>
        </w:rPr>
        <w:t>, med mindre disse direkte kan henføres til et fagligt formål.</w:t>
      </w:r>
    </w:p>
    <w:p w14:paraId="44C7C18E" w14:textId="77777777" w:rsidR="00B56D11" w:rsidRPr="00BC658A" w:rsidRDefault="00B56D11" w:rsidP="00B56D11">
      <w:pPr>
        <w:pStyle w:val="Kommentartekst"/>
        <w:rPr>
          <w:color w:val="auto"/>
          <w:sz w:val="19"/>
          <w:szCs w:val="19"/>
        </w:rPr>
      </w:pPr>
    </w:p>
    <w:p w14:paraId="3E59349C" w14:textId="77777777" w:rsidR="00B56D11" w:rsidRPr="00BC658A" w:rsidRDefault="00B56D11" w:rsidP="00B56D11">
      <w:pPr>
        <w:pStyle w:val="Kommentartekst"/>
        <w:rPr>
          <w:color w:val="auto"/>
          <w:sz w:val="19"/>
          <w:szCs w:val="19"/>
        </w:rPr>
      </w:pPr>
      <w:r w:rsidRPr="00BC658A">
        <w:rPr>
          <w:color w:val="auto"/>
          <w:sz w:val="19"/>
          <w:szCs w:val="19"/>
        </w:rPr>
        <w:t>Aktiviteter vedrørende kostafdelinger og kollegier følger nedenfor. Listen indeholder aktiviteter, der skal registreres på ’</w:t>
      </w:r>
      <w:r w:rsidRPr="00BC658A">
        <w:rPr>
          <w:i/>
          <w:color w:val="auto"/>
          <w:sz w:val="19"/>
          <w:szCs w:val="19"/>
        </w:rPr>
        <w:t>Formål 7. Bygninger og bygningsdrift</w:t>
      </w:r>
      <w:r w:rsidRPr="00BC658A">
        <w:rPr>
          <w:color w:val="auto"/>
          <w:sz w:val="19"/>
          <w:szCs w:val="19"/>
        </w:rPr>
        <w:t xml:space="preserve">’. Det er ikke obligatorisk at registrere indtægter og omkostninger på delformål i institutionens økonomisystem, men hvis institutionen ønsker dette, skal styrelsens nummerstruktur for registrering af delformål anvendes. Listen er tilgængelig på UFM.dk </w:t>
      </w:r>
      <w:r w:rsidRPr="00BC658A">
        <w:rPr>
          <w:rStyle w:val="Kommentarhenvisning"/>
          <w:color w:val="auto"/>
          <w:sz w:val="19"/>
          <w:szCs w:val="19"/>
        </w:rPr>
        <w:t>[linket indsættes her].</w:t>
      </w:r>
    </w:p>
    <w:p w14:paraId="7F441E35" w14:textId="77777777" w:rsidR="00B56D11" w:rsidRPr="00BC658A" w:rsidRDefault="00B56D11" w:rsidP="00B56D11">
      <w:pPr>
        <w:pStyle w:val="Kommentartekst"/>
        <w:rPr>
          <w:color w:val="auto"/>
          <w:sz w:val="19"/>
          <w:szCs w:val="19"/>
        </w:rPr>
      </w:pPr>
    </w:p>
    <w:p w14:paraId="7347D9C7" w14:textId="77777777" w:rsidR="00B56D11" w:rsidRPr="00BC658A" w:rsidRDefault="00B56D11" w:rsidP="00B56D11">
      <w:pPr>
        <w:pStyle w:val="Kommentartekst"/>
        <w:rPr>
          <w:color w:val="auto"/>
          <w:sz w:val="19"/>
          <w:szCs w:val="19"/>
        </w:rPr>
      </w:pPr>
    </w:p>
    <w:p w14:paraId="267A9152" w14:textId="77777777" w:rsidR="00B56D11" w:rsidRPr="00BC658A" w:rsidRDefault="00B56D11" w:rsidP="00B56D11">
      <w:pPr>
        <w:pStyle w:val="Listeafsnit"/>
        <w:numPr>
          <w:ilvl w:val="2"/>
          <w:numId w:val="8"/>
        </w:numPr>
        <w:rPr>
          <w:b/>
          <w:color w:val="auto"/>
        </w:rPr>
      </w:pPr>
      <w:r w:rsidRPr="00BC658A">
        <w:rPr>
          <w:b/>
          <w:color w:val="auto"/>
        </w:rPr>
        <w:t>Registrering på bygninger og bygningsdrift</w:t>
      </w:r>
    </w:p>
    <w:p w14:paraId="4725AB2A" w14:textId="77777777" w:rsidR="00B56D11" w:rsidRPr="00BC658A" w:rsidRDefault="00B56D11" w:rsidP="00B56D11">
      <w:pPr>
        <w:rPr>
          <w:color w:val="auto"/>
        </w:rPr>
      </w:pPr>
      <w:r w:rsidRPr="00BC658A">
        <w:rPr>
          <w:color w:val="auto"/>
        </w:rPr>
        <w:t>På formål ”Bygninger og bygningsdrift” registreres løbende alle omkostninger knyttet direkte til en bygning eller den løbende drift og vedligehold af denne. Det kan eksempelvis være:</w:t>
      </w:r>
    </w:p>
    <w:p w14:paraId="0B2442D4" w14:textId="77777777" w:rsidR="00B56D11" w:rsidRPr="00BC658A" w:rsidRDefault="00B56D11" w:rsidP="00B56D11">
      <w:pPr>
        <w:pStyle w:val="Overskrift4"/>
        <w:rPr>
          <w:color w:val="auto"/>
        </w:rPr>
      </w:pPr>
      <w:r w:rsidRPr="00BC658A">
        <w:rPr>
          <w:color w:val="auto"/>
        </w:rPr>
        <w:lastRenderedPageBreak/>
        <w:t>Omkostninger vedrørende bygningsdrift og service</w:t>
      </w:r>
    </w:p>
    <w:p w14:paraId="092466F5" w14:textId="77777777" w:rsidR="00B56D11" w:rsidRPr="00BC658A" w:rsidRDefault="00B56D11" w:rsidP="00B56D11">
      <w:pPr>
        <w:pStyle w:val="Opstilling-punkttegn"/>
        <w:rPr>
          <w:color w:val="auto"/>
        </w:rPr>
      </w:pPr>
      <w:r w:rsidRPr="00BC658A">
        <w:rPr>
          <w:color w:val="auto"/>
        </w:rPr>
        <w:t>Centrale omkostninger: Eksempelvis tilsyn, energi, varme, vand, renovation, ventilation, nødstrøms- og brandslukningsanlæg og øvrige installationer, der kan betragtes som en del af bygningen. Dette er eksempelvis kabler, krydsfelter, særlige installationer i serverrum og andre passive dele af IT-netværk og telefonsystem.</w:t>
      </w:r>
    </w:p>
    <w:p w14:paraId="548E715C" w14:textId="77777777" w:rsidR="00B56D11" w:rsidRPr="00BC658A" w:rsidRDefault="00B56D11" w:rsidP="00B56D11">
      <w:pPr>
        <w:pStyle w:val="Opstilling-punkttegn"/>
        <w:rPr>
          <w:color w:val="auto"/>
        </w:rPr>
      </w:pPr>
      <w:r w:rsidRPr="00BC658A">
        <w:rPr>
          <w:color w:val="auto"/>
        </w:rPr>
        <w:t>Vagttjeneste, adgangskontrol, overvågning, fælles budtjeneste, snerydning, betjente, skiltning, beredskabsvedligehold, gartnerarbejde, vask af arbejdstøj og gardiner. Pasning og styring af ejendomme, lokaler, materiel, anlæg, inventar og service.</w:t>
      </w:r>
    </w:p>
    <w:p w14:paraId="779FC4A3" w14:textId="77777777" w:rsidR="00B56D11" w:rsidRPr="00BC658A" w:rsidRDefault="00B56D11" w:rsidP="00B56D11">
      <w:pPr>
        <w:pStyle w:val="Opstilling-punkttegn"/>
        <w:rPr>
          <w:color w:val="auto"/>
        </w:rPr>
      </w:pPr>
      <w:r w:rsidRPr="00BC658A">
        <w:rPr>
          <w:color w:val="auto"/>
        </w:rPr>
        <w:t xml:space="preserve"> Øvrige bygningsdrift og service.</w:t>
      </w:r>
    </w:p>
    <w:p w14:paraId="4747A8D6" w14:textId="77777777" w:rsidR="00B56D11" w:rsidRPr="00BC658A" w:rsidRDefault="00B56D11" w:rsidP="00B56D11">
      <w:pPr>
        <w:pStyle w:val="Overskrift4"/>
        <w:rPr>
          <w:color w:val="auto"/>
        </w:rPr>
      </w:pPr>
      <w:r w:rsidRPr="00BC658A">
        <w:rPr>
          <w:color w:val="auto"/>
        </w:rPr>
        <w:t>Omkostninger vedrørende husleje og ejendomsskatter, samt afskrivninger</w:t>
      </w:r>
    </w:p>
    <w:p w14:paraId="2324EAE4" w14:textId="77777777" w:rsidR="00B56D11" w:rsidRPr="00BC658A" w:rsidRDefault="00B56D11" w:rsidP="00B56D11">
      <w:pPr>
        <w:pStyle w:val="Opstilling-punkttegn"/>
        <w:rPr>
          <w:color w:val="auto"/>
        </w:rPr>
      </w:pPr>
      <w:r w:rsidRPr="00BC658A">
        <w:rPr>
          <w:color w:val="auto"/>
        </w:rPr>
        <w:t xml:space="preserve"> Huslejeomkostninger</w:t>
      </w:r>
    </w:p>
    <w:p w14:paraId="5A53FBCD" w14:textId="77777777" w:rsidR="00B56D11" w:rsidRPr="00BC658A" w:rsidRDefault="00B56D11" w:rsidP="00B56D11">
      <w:pPr>
        <w:pStyle w:val="Opstilling-punkttegn"/>
        <w:rPr>
          <w:color w:val="auto"/>
        </w:rPr>
      </w:pPr>
      <w:r w:rsidRPr="00BC658A">
        <w:rPr>
          <w:color w:val="auto"/>
        </w:rPr>
        <w:t xml:space="preserve"> Ejendomsskatter</w:t>
      </w:r>
    </w:p>
    <w:p w14:paraId="62EFD28B" w14:textId="77777777" w:rsidR="00B56D11" w:rsidRPr="00BC658A" w:rsidRDefault="00B56D11" w:rsidP="00B56D11">
      <w:pPr>
        <w:pStyle w:val="Opstilling-punkttegn"/>
        <w:rPr>
          <w:color w:val="auto"/>
        </w:rPr>
      </w:pPr>
      <w:r w:rsidRPr="00BC658A">
        <w:rPr>
          <w:color w:val="auto"/>
        </w:rPr>
        <w:t xml:space="preserve"> Afskrivninger på bygninger</w:t>
      </w:r>
    </w:p>
    <w:p w14:paraId="256D0DFE" w14:textId="77777777" w:rsidR="00B56D11" w:rsidRPr="00BC658A" w:rsidRDefault="00B56D11" w:rsidP="00B56D11">
      <w:pPr>
        <w:pStyle w:val="Opstilling-punkttegn"/>
        <w:rPr>
          <w:color w:val="auto"/>
        </w:rPr>
      </w:pPr>
      <w:r w:rsidRPr="00BC658A">
        <w:rPr>
          <w:color w:val="auto"/>
        </w:rPr>
        <w:t xml:space="preserve"> Afskrivninger på anlæg og installationer vedrørende bygningerne</w:t>
      </w:r>
    </w:p>
    <w:p w14:paraId="63BE8789" w14:textId="77777777" w:rsidR="00B56D11" w:rsidRPr="00BC658A" w:rsidRDefault="00B56D11" w:rsidP="00B56D11">
      <w:pPr>
        <w:pStyle w:val="Overskrift4"/>
        <w:rPr>
          <w:color w:val="auto"/>
        </w:rPr>
      </w:pPr>
      <w:r w:rsidRPr="00BC658A">
        <w:rPr>
          <w:color w:val="auto"/>
        </w:rPr>
        <w:t>Omkostninger vedrørende vedligeholdelse og mindre byggearbejder</w:t>
      </w:r>
    </w:p>
    <w:p w14:paraId="1F6290CD" w14:textId="77777777" w:rsidR="00B56D11" w:rsidRPr="00BC658A" w:rsidRDefault="00B56D11" w:rsidP="00B56D11">
      <w:pPr>
        <w:pStyle w:val="Opstilling-punkttegn"/>
        <w:rPr>
          <w:color w:val="auto"/>
        </w:rPr>
      </w:pPr>
      <w:r w:rsidRPr="00BC658A">
        <w:rPr>
          <w:color w:val="auto"/>
        </w:rPr>
        <w:t xml:space="preserve">Løn og drift til håndværkere (interne og eksterne) og materiale ved vedligehold af egne og lejede bygninger. Indvendigt vedligehold af vægge, døre, gulve, inventar mv. </w:t>
      </w:r>
    </w:p>
    <w:p w14:paraId="2359CFE2" w14:textId="77777777" w:rsidR="00B56D11" w:rsidRPr="00BC658A" w:rsidRDefault="00B56D11" w:rsidP="00B56D11">
      <w:pPr>
        <w:pStyle w:val="Opstilling-punkttegn"/>
        <w:rPr>
          <w:color w:val="auto"/>
        </w:rPr>
      </w:pPr>
      <w:r w:rsidRPr="00BC658A">
        <w:rPr>
          <w:color w:val="auto"/>
        </w:rPr>
        <w:t xml:space="preserve">Udvendig vedligeholdelse af facader, vinduer og tag samt vedligehold af terræn (f.eks. parkeringsanlæg). </w:t>
      </w:r>
    </w:p>
    <w:p w14:paraId="4788C88C" w14:textId="77777777" w:rsidR="00B56D11" w:rsidRPr="00BC658A" w:rsidRDefault="00B56D11" w:rsidP="00B56D11">
      <w:pPr>
        <w:pStyle w:val="Opstilling-punkttegn"/>
        <w:rPr>
          <w:color w:val="auto"/>
        </w:rPr>
      </w:pPr>
      <w:r w:rsidRPr="00BC658A">
        <w:rPr>
          <w:color w:val="auto"/>
        </w:rPr>
        <w:t>Vedligeholdelse af tekniske fællesanlæg som varmeanlæg og elektriske anlæg, henføres til dette formål.</w:t>
      </w:r>
    </w:p>
    <w:p w14:paraId="65828C95" w14:textId="77777777" w:rsidR="00B56D11" w:rsidRPr="00BC658A" w:rsidRDefault="00B56D11" w:rsidP="00B56D11">
      <w:pPr>
        <w:pStyle w:val="Overskrift4"/>
        <w:rPr>
          <w:color w:val="auto"/>
        </w:rPr>
      </w:pPr>
      <w:r>
        <w:rPr>
          <w:color w:val="auto"/>
        </w:rPr>
        <w:t>F</w:t>
      </w:r>
      <w:r w:rsidRPr="00BC658A">
        <w:rPr>
          <w:color w:val="auto"/>
        </w:rPr>
        <w:t>remleje</w:t>
      </w:r>
    </w:p>
    <w:p w14:paraId="5C581548" w14:textId="77777777" w:rsidR="00B56D11" w:rsidRPr="00BC658A" w:rsidRDefault="00B56D11" w:rsidP="00B56D11">
      <w:pPr>
        <w:rPr>
          <w:color w:val="auto"/>
        </w:rPr>
      </w:pPr>
      <w:r>
        <w:rPr>
          <w:color w:val="auto"/>
        </w:rPr>
        <w:t>Formålet omfatter</w:t>
      </w:r>
      <w:r w:rsidRPr="00BC658A">
        <w:rPr>
          <w:color w:val="auto"/>
        </w:rPr>
        <w:t xml:space="preserve"> indtægter i forbindelse med fremleje, herunder gæsteboliger. </w:t>
      </w:r>
    </w:p>
    <w:p w14:paraId="3A354D3D" w14:textId="77777777" w:rsidR="00B56D11" w:rsidRPr="00BC658A" w:rsidRDefault="00B56D11" w:rsidP="00B56D11">
      <w:pPr>
        <w:pStyle w:val="Overskrift4"/>
        <w:rPr>
          <w:color w:val="auto"/>
          <w:u w:val="single"/>
        </w:rPr>
      </w:pPr>
      <w:r w:rsidRPr="00BC658A">
        <w:rPr>
          <w:color w:val="auto"/>
        </w:rPr>
        <w:t>Finansielle bygningsomkostninger</w:t>
      </w:r>
    </w:p>
    <w:p w14:paraId="29E0EE16" w14:textId="77777777" w:rsidR="00B56D11" w:rsidRPr="00BC658A" w:rsidRDefault="00B56D11" w:rsidP="00B56D11">
      <w:pPr>
        <w:rPr>
          <w:color w:val="auto"/>
        </w:rPr>
      </w:pPr>
      <w:r w:rsidRPr="00BC658A">
        <w:rPr>
          <w:color w:val="auto"/>
        </w:rPr>
        <w:t>Formålet omfatter renter, bidrag og kurstab fra tinglyst gæld i fast ejendom (prioritetsgæld) optaget med henblik på finansiering af bygninger, inkl. af vedligehold og forbedringer. Som prioritetsgæld anses både gæld til realkreditinstitut, pengeinstitut eller andet.</w:t>
      </w:r>
    </w:p>
    <w:p w14:paraId="351A7C10" w14:textId="77777777" w:rsidR="00B56D11" w:rsidRPr="00BC658A" w:rsidRDefault="00B56D11" w:rsidP="00B56D11">
      <w:pPr>
        <w:rPr>
          <w:color w:val="auto"/>
        </w:rPr>
      </w:pPr>
    </w:p>
    <w:p w14:paraId="541642E2" w14:textId="77777777" w:rsidR="00B56D11" w:rsidRPr="00BC658A" w:rsidRDefault="00B56D11" w:rsidP="00B56D11">
      <w:pPr>
        <w:rPr>
          <w:rFonts w:eastAsiaTheme="majorEastAsia" w:cstheme="majorBidi"/>
          <w:b/>
          <w:bCs/>
          <w:i/>
          <w:iCs/>
          <w:color w:val="auto"/>
          <w:sz w:val="20"/>
        </w:rPr>
      </w:pPr>
      <w:r w:rsidRPr="00BC658A">
        <w:rPr>
          <w:rFonts w:eastAsiaTheme="majorEastAsia" w:cstheme="majorBidi"/>
          <w:b/>
          <w:bCs/>
          <w:i/>
          <w:iCs/>
          <w:color w:val="auto"/>
          <w:sz w:val="20"/>
        </w:rPr>
        <w:t>Ikke omfattet af formålet</w:t>
      </w:r>
    </w:p>
    <w:p w14:paraId="7510C678" w14:textId="77777777" w:rsidR="00B56D11" w:rsidRPr="00BC658A" w:rsidRDefault="00B56D11" w:rsidP="00B56D11">
      <w:pPr>
        <w:rPr>
          <w:color w:val="auto"/>
        </w:rPr>
      </w:pPr>
      <w:r w:rsidRPr="00BC658A">
        <w:rPr>
          <w:color w:val="auto"/>
        </w:rPr>
        <w:t>Formålet ”Bygninger og bygningsdrift” omfatter ikke udstyr og infrastruktur der direkte kan henføres til et fagligt formål jf. formål 1-5.</w:t>
      </w:r>
    </w:p>
    <w:p w14:paraId="1F9AD8CA" w14:textId="77777777" w:rsidR="00B56D11" w:rsidRPr="00BC658A" w:rsidRDefault="00B56D11" w:rsidP="00B56D11">
      <w:pPr>
        <w:rPr>
          <w:color w:val="auto"/>
        </w:rPr>
      </w:pPr>
    </w:p>
    <w:p w14:paraId="127B8624" w14:textId="77777777" w:rsidR="00B56D11" w:rsidRPr="00BC658A" w:rsidRDefault="00B56D11" w:rsidP="00B56D11">
      <w:pPr>
        <w:rPr>
          <w:color w:val="auto"/>
        </w:rPr>
      </w:pPr>
      <w:r w:rsidRPr="00BC658A">
        <w:rPr>
          <w:color w:val="auto"/>
        </w:rPr>
        <w:t>Formålet omfatter endvidere ikke fælles driftsomkostninger til kontorhold, IT og øvrig administration, dvs. fælles driftsomkostninger som ikke vedrører institutionens fysiske rammer. Disse henføres til formål generelle fællesomkostninger.</w:t>
      </w:r>
    </w:p>
    <w:p w14:paraId="27D5D4DE" w14:textId="77777777" w:rsidR="00B56D11" w:rsidRPr="00BC658A" w:rsidRDefault="00B56D11" w:rsidP="00B56D11"/>
    <w:p w14:paraId="3488F12E" w14:textId="77777777" w:rsidR="00AA0F59" w:rsidRDefault="00AA0F59" w:rsidP="00AA0F59">
      <w:pPr>
        <w:rPr>
          <w:b/>
          <w:color w:val="auto"/>
        </w:rPr>
      </w:pPr>
    </w:p>
    <w:p w14:paraId="04994D81" w14:textId="77777777" w:rsidR="00AA0F59" w:rsidRPr="00DA4302" w:rsidRDefault="00AA0F59" w:rsidP="00AA0F59">
      <w:pPr>
        <w:rPr>
          <w:b/>
          <w:color w:val="auto"/>
        </w:rPr>
      </w:pPr>
    </w:p>
    <w:p w14:paraId="083EEE89" w14:textId="4A53D18E" w:rsidR="00AA0F59" w:rsidRPr="00B56D11" w:rsidRDefault="00AA0F59" w:rsidP="00B56D11">
      <w:pPr>
        <w:pStyle w:val="Overskrift1"/>
        <w:numPr>
          <w:ilvl w:val="0"/>
          <w:numId w:val="29"/>
        </w:numPr>
        <w:rPr>
          <w:color w:val="auto"/>
        </w:rPr>
      </w:pPr>
      <w:bookmarkStart w:id="130" w:name="_Toc19280587"/>
      <w:r w:rsidRPr="00B56D11">
        <w:rPr>
          <w:color w:val="auto"/>
        </w:rPr>
        <w:lastRenderedPageBreak/>
        <w:t xml:space="preserve">Retningslinjer for fordeling af formål til </w:t>
      </w:r>
      <w:r w:rsidR="00D92497" w:rsidRPr="00B56D11">
        <w:rPr>
          <w:color w:val="auto"/>
        </w:rPr>
        <w:t>del</w:t>
      </w:r>
      <w:r w:rsidRPr="00B56D11">
        <w:rPr>
          <w:color w:val="auto"/>
        </w:rPr>
        <w:t>formål</w:t>
      </w:r>
      <w:bookmarkEnd w:id="130"/>
    </w:p>
    <w:p w14:paraId="52D733E0" w14:textId="082F6653" w:rsidR="00A20F86" w:rsidRDefault="00AA0F59" w:rsidP="00AA0F59">
      <w:pPr>
        <w:rPr>
          <w:color w:val="auto"/>
        </w:rPr>
      </w:pPr>
      <w:r w:rsidRPr="008D62C2">
        <w:rPr>
          <w:color w:val="auto"/>
        </w:rPr>
        <w:t>Institutione</w:t>
      </w:r>
      <w:r w:rsidR="00883A5D">
        <w:rPr>
          <w:color w:val="auto"/>
        </w:rPr>
        <w:t xml:space="preserve">n skal </w:t>
      </w:r>
      <w:r w:rsidRPr="008D62C2">
        <w:rPr>
          <w:color w:val="auto"/>
        </w:rPr>
        <w:t xml:space="preserve">fordele de registrerede </w:t>
      </w:r>
      <w:r w:rsidR="00D659FB">
        <w:rPr>
          <w:color w:val="auto"/>
        </w:rPr>
        <w:t>posteringer</w:t>
      </w:r>
      <w:r w:rsidRPr="008D62C2">
        <w:rPr>
          <w:color w:val="auto"/>
        </w:rPr>
        <w:t xml:space="preserve"> </w:t>
      </w:r>
      <w:r w:rsidR="00883A5D">
        <w:rPr>
          <w:color w:val="auto"/>
        </w:rPr>
        <w:t xml:space="preserve">på </w:t>
      </w:r>
      <w:r w:rsidRPr="008D62C2">
        <w:rPr>
          <w:color w:val="auto"/>
        </w:rPr>
        <w:t>de syv formål</w:t>
      </w:r>
      <w:r w:rsidR="00D855EB">
        <w:rPr>
          <w:color w:val="auto"/>
        </w:rPr>
        <w:t>,</w:t>
      </w:r>
      <w:r w:rsidRPr="008D62C2">
        <w:rPr>
          <w:color w:val="auto"/>
        </w:rPr>
        <w:t xml:space="preserve"> til underliggende </w:t>
      </w:r>
      <w:r w:rsidR="00D92497">
        <w:rPr>
          <w:color w:val="auto"/>
        </w:rPr>
        <w:t>del</w:t>
      </w:r>
      <w:r w:rsidRPr="008D62C2">
        <w:rPr>
          <w:color w:val="auto"/>
        </w:rPr>
        <w:t>formål</w:t>
      </w:r>
      <w:r w:rsidR="005E4929">
        <w:rPr>
          <w:color w:val="auto"/>
        </w:rPr>
        <w:t xml:space="preserve">. </w:t>
      </w:r>
    </w:p>
    <w:p w14:paraId="1AE4A9AC" w14:textId="77777777" w:rsidR="00A20F86" w:rsidRDefault="00A20F86" w:rsidP="00AA0F59">
      <w:pPr>
        <w:rPr>
          <w:color w:val="auto"/>
        </w:rPr>
      </w:pPr>
    </w:p>
    <w:p w14:paraId="7151B8BC" w14:textId="6CC192B1" w:rsidR="00AA0F59" w:rsidRPr="008D62C2" w:rsidRDefault="00AA0F59" w:rsidP="00AA0F59">
      <w:pPr>
        <w:rPr>
          <w:color w:val="auto"/>
        </w:rPr>
      </w:pPr>
      <w:r w:rsidRPr="008D62C2">
        <w:rPr>
          <w:color w:val="auto"/>
        </w:rPr>
        <w:t xml:space="preserve">Dette </w:t>
      </w:r>
      <w:r w:rsidR="002B4869">
        <w:rPr>
          <w:color w:val="auto"/>
        </w:rPr>
        <w:t>kan</w:t>
      </w:r>
      <w:r w:rsidRPr="008D62C2">
        <w:rPr>
          <w:color w:val="auto"/>
        </w:rPr>
        <w:t xml:space="preserve"> ske uden for regnskabssystemet efter </w:t>
      </w:r>
      <w:r w:rsidR="00883A5D">
        <w:rPr>
          <w:color w:val="auto"/>
        </w:rPr>
        <w:t xml:space="preserve">følgende </w:t>
      </w:r>
      <w:r w:rsidRPr="008D62C2">
        <w:rPr>
          <w:color w:val="auto"/>
        </w:rPr>
        <w:t>trin</w:t>
      </w:r>
      <w:r w:rsidR="00BC31BB">
        <w:rPr>
          <w:color w:val="auto"/>
        </w:rPr>
        <w:t xml:space="preserve"> og</w:t>
      </w:r>
      <w:r w:rsidR="00883A5D">
        <w:rPr>
          <w:color w:val="auto"/>
        </w:rPr>
        <w:t xml:space="preserve"> i</w:t>
      </w:r>
      <w:r w:rsidR="00BC31BB">
        <w:rPr>
          <w:color w:val="auto"/>
        </w:rPr>
        <w:t xml:space="preserve"> den angivne</w:t>
      </w:r>
      <w:r w:rsidR="00883A5D">
        <w:rPr>
          <w:color w:val="auto"/>
        </w:rPr>
        <w:t xml:space="preserve"> rækkefølge</w:t>
      </w:r>
      <w:r w:rsidRPr="008D62C2">
        <w:rPr>
          <w:color w:val="auto"/>
        </w:rPr>
        <w:t>:</w:t>
      </w:r>
    </w:p>
    <w:p w14:paraId="672902A0" w14:textId="77777777" w:rsidR="00AA0F59" w:rsidRPr="008D62C2" w:rsidRDefault="00AA0F59" w:rsidP="00AA0F59">
      <w:pPr>
        <w:rPr>
          <w:color w:val="auto"/>
        </w:rPr>
      </w:pPr>
    </w:p>
    <w:p w14:paraId="2B56978E" w14:textId="308A3DD9" w:rsidR="00AA0F59" w:rsidRPr="008841B6" w:rsidRDefault="00AA0F59" w:rsidP="00037676">
      <w:pPr>
        <w:pStyle w:val="Opstilling-punkttegn"/>
        <w:numPr>
          <w:ilvl w:val="0"/>
          <w:numId w:val="11"/>
        </w:numPr>
        <w:rPr>
          <w:color w:val="auto"/>
        </w:rPr>
      </w:pPr>
      <w:r w:rsidRPr="008841B6">
        <w:rPr>
          <w:color w:val="auto"/>
        </w:rPr>
        <w:t>Fordeling af bygningsomkostninger</w:t>
      </w:r>
      <w:r w:rsidR="00883A5D" w:rsidRPr="008841B6">
        <w:rPr>
          <w:color w:val="auto"/>
        </w:rPr>
        <w:t xml:space="preserve"> </w:t>
      </w:r>
      <w:r w:rsidRPr="008841B6">
        <w:rPr>
          <w:color w:val="auto"/>
        </w:rPr>
        <w:t>på</w:t>
      </w:r>
      <w:r w:rsidR="00883A5D" w:rsidRPr="008841B6">
        <w:rPr>
          <w:color w:val="auto"/>
        </w:rPr>
        <w:t xml:space="preserve"> </w:t>
      </w:r>
      <w:r w:rsidRPr="008841B6">
        <w:rPr>
          <w:color w:val="auto"/>
        </w:rPr>
        <w:t>formål</w:t>
      </w:r>
      <w:r w:rsidR="00BC31BB" w:rsidRPr="008841B6">
        <w:rPr>
          <w:color w:val="auto"/>
        </w:rPr>
        <w:t xml:space="preserve"> 1-6</w:t>
      </w:r>
      <w:r w:rsidRPr="008841B6">
        <w:rPr>
          <w:color w:val="auto"/>
        </w:rPr>
        <w:t xml:space="preserve"> efter </w:t>
      </w:r>
      <w:r w:rsidR="00D92497" w:rsidRPr="008841B6">
        <w:rPr>
          <w:color w:val="auto"/>
        </w:rPr>
        <w:t xml:space="preserve">nærmere fastsatte </w:t>
      </w:r>
      <w:r w:rsidRPr="008841B6">
        <w:rPr>
          <w:color w:val="auto"/>
        </w:rPr>
        <w:t>fælles fordelingsmetoder</w:t>
      </w:r>
      <w:r w:rsidR="00174970" w:rsidRPr="008841B6">
        <w:rPr>
          <w:color w:val="auto"/>
        </w:rPr>
        <w:br/>
      </w:r>
    </w:p>
    <w:p w14:paraId="3400FDDA" w14:textId="02A39E3A" w:rsidR="00883A5D" w:rsidRPr="008841B6" w:rsidRDefault="00883A5D" w:rsidP="00037676">
      <w:pPr>
        <w:pStyle w:val="Opstilling-punkttegn"/>
        <w:numPr>
          <w:ilvl w:val="0"/>
          <w:numId w:val="11"/>
        </w:numPr>
        <w:rPr>
          <w:color w:val="auto"/>
        </w:rPr>
      </w:pPr>
      <w:r w:rsidRPr="008841B6">
        <w:rPr>
          <w:color w:val="auto"/>
        </w:rPr>
        <w:t xml:space="preserve">Fordeling af generelle fællesomkostninger inkl. andel af bygningsomkostninger under trin 1 på formål 1-5 efter </w:t>
      </w:r>
      <w:r w:rsidR="00D92497" w:rsidRPr="008841B6">
        <w:rPr>
          <w:color w:val="auto"/>
        </w:rPr>
        <w:t xml:space="preserve">nærmere fastsatte </w:t>
      </w:r>
      <w:r w:rsidRPr="008841B6">
        <w:rPr>
          <w:color w:val="auto"/>
        </w:rPr>
        <w:t xml:space="preserve">fælles fordelingsmetoder. </w:t>
      </w:r>
      <w:r w:rsidR="00174970" w:rsidRPr="008841B6">
        <w:rPr>
          <w:color w:val="auto"/>
        </w:rPr>
        <w:br/>
      </w:r>
    </w:p>
    <w:p w14:paraId="251750D0" w14:textId="5D293CAE" w:rsidR="00AA0F59" w:rsidRDefault="00AA0F59" w:rsidP="00037676">
      <w:pPr>
        <w:pStyle w:val="Opstilling-punkttegn"/>
        <w:numPr>
          <w:ilvl w:val="0"/>
          <w:numId w:val="11"/>
        </w:numPr>
        <w:rPr>
          <w:color w:val="auto"/>
        </w:rPr>
      </w:pPr>
      <w:r w:rsidRPr="008841B6">
        <w:rPr>
          <w:color w:val="auto"/>
        </w:rPr>
        <w:t xml:space="preserve">Fordeling af </w:t>
      </w:r>
      <w:r w:rsidR="00883A5D" w:rsidRPr="008841B6">
        <w:rPr>
          <w:color w:val="auto"/>
        </w:rPr>
        <w:t>total</w:t>
      </w:r>
      <w:r w:rsidRPr="008841B6">
        <w:rPr>
          <w:color w:val="auto"/>
        </w:rPr>
        <w:t xml:space="preserve">omkostninger </w:t>
      </w:r>
      <w:r w:rsidR="00883A5D" w:rsidRPr="008841B6">
        <w:rPr>
          <w:color w:val="auto"/>
        </w:rPr>
        <w:t xml:space="preserve">under formålene 1-5 </w:t>
      </w:r>
      <w:r w:rsidRPr="008841B6">
        <w:rPr>
          <w:color w:val="auto"/>
        </w:rPr>
        <w:t xml:space="preserve">til </w:t>
      </w:r>
      <w:r w:rsidR="00D92497" w:rsidRPr="008841B6">
        <w:rPr>
          <w:color w:val="auto"/>
        </w:rPr>
        <w:t>del</w:t>
      </w:r>
      <w:r w:rsidRPr="008841B6">
        <w:rPr>
          <w:color w:val="auto"/>
        </w:rPr>
        <w:t xml:space="preserve">formål under hvert af </w:t>
      </w:r>
      <w:r w:rsidR="00883A5D" w:rsidRPr="008841B6">
        <w:rPr>
          <w:color w:val="auto"/>
        </w:rPr>
        <w:t xml:space="preserve">disse </w:t>
      </w:r>
      <w:r w:rsidRPr="008841B6">
        <w:rPr>
          <w:color w:val="auto"/>
        </w:rPr>
        <w:t xml:space="preserve">formål efter </w:t>
      </w:r>
      <w:r w:rsidR="00D92497" w:rsidRPr="008841B6">
        <w:rPr>
          <w:color w:val="auto"/>
        </w:rPr>
        <w:t xml:space="preserve">nærmere fastsatte </w:t>
      </w:r>
      <w:r w:rsidRPr="008D62C2">
        <w:rPr>
          <w:color w:val="auto"/>
        </w:rPr>
        <w:t>fælles fordelingsmetoder</w:t>
      </w:r>
    </w:p>
    <w:p w14:paraId="70CE95A3" w14:textId="67B8ECBB" w:rsidR="00174970" w:rsidRDefault="00174970" w:rsidP="00174970">
      <w:pPr>
        <w:pStyle w:val="Opstilling-punkttegn"/>
        <w:numPr>
          <w:ilvl w:val="0"/>
          <w:numId w:val="0"/>
        </w:numPr>
        <w:ind w:left="737" w:hanging="283"/>
        <w:rPr>
          <w:color w:val="auto"/>
        </w:rPr>
      </w:pPr>
    </w:p>
    <w:p w14:paraId="5FCDC140" w14:textId="1D22BE1A" w:rsidR="008841B6" w:rsidRDefault="008841B6" w:rsidP="008841B6">
      <w:pPr>
        <w:pStyle w:val="Opstilling-punkttegn"/>
        <w:numPr>
          <w:ilvl w:val="0"/>
          <w:numId w:val="0"/>
        </w:numPr>
        <w:rPr>
          <w:i/>
          <w:color w:val="auto"/>
          <w:highlight w:val="lightGray"/>
        </w:rPr>
      </w:pPr>
      <w:r w:rsidRPr="008D62C2">
        <w:rPr>
          <w:color w:val="auto"/>
        </w:rPr>
        <w:t xml:space="preserve">En liste med pågældende </w:t>
      </w:r>
      <w:r>
        <w:rPr>
          <w:color w:val="auto"/>
        </w:rPr>
        <w:t>del</w:t>
      </w:r>
      <w:r w:rsidRPr="008D62C2">
        <w:rPr>
          <w:color w:val="auto"/>
        </w:rPr>
        <w:t xml:space="preserve">formål kan findes på </w:t>
      </w:r>
      <w:r w:rsidRPr="00A20F86">
        <w:rPr>
          <w:i/>
          <w:color w:val="auto"/>
          <w:highlight w:val="lightGray"/>
        </w:rPr>
        <w:t xml:space="preserve">[Link til </w:t>
      </w:r>
      <w:proofErr w:type="spellStart"/>
      <w:r w:rsidRPr="00A20F86">
        <w:rPr>
          <w:i/>
          <w:color w:val="auto"/>
          <w:highlight w:val="lightGray"/>
        </w:rPr>
        <w:t>UFMs</w:t>
      </w:r>
      <w:proofErr w:type="spellEnd"/>
      <w:r w:rsidRPr="00A20F86">
        <w:rPr>
          <w:i/>
          <w:color w:val="auto"/>
          <w:highlight w:val="lightGray"/>
        </w:rPr>
        <w:t xml:space="preserve"> hjemmeside, hvor Styrelsen for Institutioner og Uddannelsesstøtte offentliggør den validerede liste</w:t>
      </w:r>
      <w:r>
        <w:rPr>
          <w:i/>
          <w:color w:val="auto"/>
          <w:highlight w:val="lightGray"/>
        </w:rPr>
        <w:t xml:space="preserve"> følger</w:t>
      </w:r>
      <w:r w:rsidRPr="00A20F86">
        <w:rPr>
          <w:i/>
          <w:color w:val="auto"/>
          <w:highlight w:val="lightGray"/>
        </w:rPr>
        <w:t>]</w:t>
      </w:r>
      <w:r w:rsidRPr="008D62C2">
        <w:rPr>
          <w:color w:val="auto"/>
        </w:rPr>
        <w:t>.</w:t>
      </w:r>
    </w:p>
    <w:p w14:paraId="27F155F3" w14:textId="77777777" w:rsidR="008841B6" w:rsidRDefault="008841B6" w:rsidP="00D855EB">
      <w:pPr>
        <w:pStyle w:val="Opstilling-punkttegn"/>
        <w:numPr>
          <w:ilvl w:val="0"/>
          <w:numId w:val="0"/>
        </w:numPr>
        <w:rPr>
          <w:i/>
          <w:color w:val="auto"/>
          <w:highlight w:val="lightGray"/>
        </w:rPr>
      </w:pPr>
    </w:p>
    <w:p w14:paraId="7C472B53" w14:textId="4B58C7AF" w:rsidR="00174970" w:rsidRDefault="00174970" w:rsidP="00D855EB">
      <w:pPr>
        <w:pStyle w:val="Opstilling-punkttegn"/>
        <w:numPr>
          <w:ilvl w:val="0"/>
          <w:numId w:val="0"/>
        </w:numPr>
        <w:rPr>
          <w:i/>
          <w:color w:val="auto"/>
        </w:rPr>
      </w:pPr>
      <w:r w:rsidRPr="00E4610C">
        <w:rPr>
          <w:i/>
          <w:color w:val="auto"/>
          <w:highlight w:val="lightGray"/>
        </w:rPr>
        <w:t>[</w:t>
      </w:r>
      <w:r w:rsidR="00E4610C" w:rsidRPr="00E4610C">
        <w:rPr>
          <w:i/>
          <w:color w:val="auto"/>
          <w:highlight w:val="lightGray"/>
        </w:rPr>
        <w:t xml:space="preserve">Metoder for hhv. direkte fordeling i regnskabet til delformål vs. fordeling til delformål </w:t>
      </w:r>
      <w:r w:rsidR="00D855EB" w:rsidRPr="00E4610C">
        <w:rPr>
          <w:i/>
          <w:color w:val="auto"/>
          <w:highlight w:val="lightGray"/>
        </w:rPr>
        <w:t>uden for</w:t>
      </w:r>
      <w:r w:rsidR="00E4610C" w:rsidRPr="00E4610C">
        <w:rPr>
          <w:i/>
          <w:color w:val="auto"/>
          <w:highlight w:val="lightGray"/>
        </w:rPr>
        <w:t xml:space="preserve"> regnskabet drøftes mellem SIU og institutionerne]</w:t>
      </w:r>
    </w:p>
    <w:p w14:paraId="2477DDF8" w14:textId="7855EF86" w:rsidR="004E2FB1" w:rsidRDefault="004E2FB1" w:rsidP="00D855EB">
      <w:pPr>
        <w:pStyle w:val="Opstilling-punkttegn"/>
        <w:numPr>
          <w:ilvl w:val="0"/>
          <w:numId w:val="0"/>
        </w:numPr>
        <w:rPr>
          <w:i/>
          <w:color w:val="auto"/>
        </w:rPr>
      </w:pPr>
    </w:p>
    <w:p w14:paraId="07E84596" w14:textId="0AD59862" w:rsidR="00AA0F59" w:rsidRPr="008D62C2" w:rsidRDefault="00AA0F59" w:rsidP="00B56D11">
      <w:pPr>
        <w:pStyle w:val="Overskrift2"/>
        <w:tabs>
          <w:tab w:val="clear" w:pos="454"/>
          <w:tab w:val="left" w:pos="284"/>
        </w:tabs>
        <w:ind w:left="284" w:hanging="284"/>
        <w:rPr>
          <w:color w:val="auto"/>
        </w:rPr>
      </w:pPr>
      <w:bookmarkStart w:id="131" w:name="_Toc9083575"/>
      <w:bookmarkStart w:id="132" w:name="_Toc19182998"/>
      <w:bookmarkStart w:id="133" w:name="_Toc19280588"/>
      <w:r w:rsidRPr="008D62C2">
        <w:rPr>
          <w:color w:val="auto"/>
        </w:rPr>
        <w:t xml:space="preserve">Fordeling af bygningsomkostninger </w:t>
      </w:r>
      <w:r w:rsidR="0013204C">
        <w:rPr>
          <w:color w:val="auto"/>
        </w:rPr>
        <w:t>og generelle fællesomkostninger</w:t>
      </w:r>
      <w:r w:rsidR="0013204C" w:rsidRPr="008D62C2">
        <w:rPr>
          <w:color w:val="auto"/>
        </w:rPr>
        <w:t xml:space="preserve"> </w:t>
      </w:r>
      <w:r w:rsidRPr="008D62C2">
        <w:rPr>
          <w:color w:val="auto"/>
        </w:rPr>
        <w:t xml:space="preserve">på </w:t>
      </w:r>
      <w:r w:rsidR="0013204C">
        <w:rPr>
          <w:color w:val="auto"/>
        </w:rPr>
        <w:t xml:space="preserve">øvrige </w:t>
      </w:r>
      <w:r w:rsidRPr="008D62C2">
        <w:rPr>
          <w:color w:val="auto"/>
        </w:rPr>
        <w:t xml:space="preserve">formål </w:t>
      </w:r>
      <w:r w:rsidR="00883A5D">
        <w:rPr>
          <w:color w:val="auto"/>
        </w:rPr>
        <w:t xml:space="preserve">1-5 </w:t>
      </w:r>
      <w:r w:rsidRPr="008D62C2">
        <w:rPr>
          <w:color w:val="auto"/>
        </w:rPr>
        <w:t>efter fælles fordelingsmetoder</w:t>
      </w:r>
      <w:bookmarkEnd w:id="131"/>
      <w:r w:rsidR="008841B6">
        <w:rPr>
          <w:color w:val="auto"/>
        </w:rPr>
        <w:t xml:space="preserve"> (ovennævnte punkt 1 og 2)</w:t>
      </w:r>
      <w:bookmarkEnd w:id="132"/>
      <w:bookmarkEnd w:id="133"/>
    </w:p>
    <w:p w14:paraId="74C23AB2" w14:textId="1259B858" w:rsidR="00DD4909" w:rsidRDefault="00AA0F59" w:rsidP="00AA0F59">
      <w:pPr>
        <w:pStyle w:val="Opstilling-punkttegn"/>
        <w:numPr>
          <w:ilvl w:val="0"/>
          <w:numId w:val="0"/>
        </w:numPr>
        <w:rPr>
          <w:color w:val="auto"/>
        </w:rPr>
      </w:pPr>
      <w:r w:rsidRPr="008D62C2">
        <w:rPr>
          <w:color w:val="auto"/>
        </w:rPr>
        <w:t>Fordeling af bygningsomkostninger</w:t>
      </w:r>
      <w:r w:rsidR="0013204C">
        <w:rPr>
          <w:color w:val="auto"/>
        </w:rPr>
        <w:t xml:space="preserve"> og</w:t>
      </w:r>
      <w:r w:rsidRPr="008D62C2">
        <w:rPr>
          <w:color w:val="auto"/>
        </w:rPr>
        <w:t xml:space="preserve"> </w:t>
      </w:r>
      <w:r w:rsidR="0013204C">
        <w:rPr>
          <w:color w:val="auto"/>
        </w:rPr>
        <w:t>generelle fællesomkostninger</w:t>
      </w:r>
      <w:r w:rsidR="0013204C" w:rsidRPr="008D62C2">
        <w:rPr>
          <w:color w:val="auto"/>
        </w:rPr>
        <w:t xml:space="preserve"> </w:t>
      </w:r>
      <w:r w:rsidRPr="008D62C2">
        <w:rPr>
          <w:color w:val="auto"/>
        </w:rPr>
        <w:t xml:space="preserve">skal følge </w:t>
      </w:r>
      <w:r w:rsidR="00DD4909">
        <w:rPr>
          <w:color w:val="auto"/>
        </w:rPr>
        <w:t>samme metoder</w:t>
      </w:r>
      <w:r w:rsidRPr="008D62C2">
        <w:rPr>
          <w:color w:val="auto"/>
        </w:rPr>
        <w:t xml:space="preserve"> på tværs af institutionerne. </w:t>
      </w:r>
    </w:p>
    <w:p w14:paraId="5A52A923" w14:textId="77777777" w:rsidR="005F79ED" w:rsidRDefault="005F79ED" w:rsidP="00AA0F59">
      <w:pPr>
        <w:pStyle w:val="Opstilling-punkttegn"/>
        <w:numPr>
          <w:ilvl w:val="0"/>
          <w:numId w:val="0"/>
        </w:numPr>
        <w:rPr>
          <w:color w:val="auto"/>
        </w:rPr>
      </w:pPr>
    </w:p>
    <w:p w14:paraId="302F81E7" w14:textId="3CF1C984" w:rsidR="005F79ED" w:rsidRDefault="005F79ED" w:rsidP="00AA0F59">
      <w:pPr>
        <w:pStyle w:val="Opstilling-punkttegn"/>
        <w:numPr>
          <w:ilvl w:val="0"/>
          <w:numId w:val="0"/>
        </w:numPr>
        <w:rPr>
          <w:noProof/>
          <w:color w:val="auto"/>
          <w:lang w:eastAsia="da-DK"/>
        </w:rPr>
      </w:pPr>
      <w:r w:rsidRPr="002B4869">
        <w:rPr>
          <w:noProof/>
          <w:color w:val="auto"/>
          <w:lang w:eastAsia="da-DK"/>
        </w:rPr>
        <w:t>Institutione</w:t>
      </w:r>
      <w:r>
        <w:rPr>
          <w:noProof/>
          <w:color w:val="auto"/>
          <w:lang w:eastAsia="da-DK"/>
        </w:rPr>
        <w:t>r</w:t>
      </w:r>
      <w:r w:rsidRPr="002B4869">
        <w:rPr>
          <w:noProof/>
          <w:color w:val="auto"/>
          <w:lang w:eastAsia="da-DK"/>
        </w:rPr>
        <w:t>n</w:t>
      </w:r>
      <w:r>
        <w:rPr>
          <w:noProof/>
          <w:color w:val="auto"/>
          <w:lang w:eastAsia="da-DK"/>
        </w:rPr>
        <w:t>e</w:t>
      </w:r>
      <w:r w:rsidRPr="002B4869">
        <w:rPr>
          <w:noProof/>
          <w:color w:val="auto"/>
          <w:lang w:eastAsia="da-DK"/>
        </w:rPr>
        <w:t xml:space="preserve"> fordeler bygningsomkostningerne på de seks øvrige formål efter en samlet bestand af ansatte og studerende, i det omfang institutionen ikke kan henføre posteringerne direkte til de seks øvrige formål i kraft af data i et facility management system eller lignende. </w:t>
      </w:r>
    </w:p>
    <w:p w14:paraId="29973AC2" w14:textId="77777777" w:rsidR="005F79ED" w:rsidRDefault="005F79ED" w:rsidP="00AA0F59">
      <w:pPr>
        <w:pStyle w:val="Opstilling-punkttegn"/>
        <w:numPr>
          <w:ilvl w:val="0"/>
          <w:numId w:val="0"/>
        </w:numPr>
        <w:rPr>
          <w:noProof/>
          <w:color w:val="auto"/>
          <w:lang w:eastAsia="da-DK"/>
        </w:rPr>
      </w:pPr>
    </w:p>
    <w:p w14:paraId="29B5F507" w14:textId="77777777" w:rsidR="005F79ED" w:rsidRPr="005F79ED" w:rsidRDefault="005F79ED" w:rsidP="00AA0F59">
      <w:pPr>
        <w:pStyle w:val="Opstilling-punkttegn"/>
        <w:numPr>
          <w:ilvl w:val="0"/>
          <w:numId w:val="0"/>
        </w:numPr>
        <w:rPr>
          <w:color w:val="auto"/>
        </w:rPr>
      </w:pPr>
      <w:r>
        <w:rPr>
          <w:noProof/>
          <w:color w:val="auto"/>
          <w:lang w:eastAsia="da-DK"/>
        </w:rPr>
        <w:t>In</w:t>
      </w:r>
      <w:r w:rsidRPr="002B4869">
        <w:rPr>
          <w:noProof/>
          <w:color w:val="auto"/>
          <w:lang w:eastAsia="da-DK"/>
        </w:rPr>
        <w:t>stitutione</w:t>
      </w:r>
      <w:r>
        <w:rPr>
          <w:noProof/>
          <w:color w:val="auto"/>
          <w:lang w:eastAsia="da-DK"/>
        </w:rPr>
        <w:t>r</w:t>
      </w:r>
      <w:r w:rsidRPr="002B4869">
        <w:rPr>
          <w:noProof/>
          <w:color w:val="auto"/>
          <w:lang w:eastAsia="da-DK"/>
        </w:rPr>
        <w:t>n</w:t>
      </w:r>
      <w:r>
        <w:rPr>
          <w:noProof/>
          <w:color w:val="auto"/>
          <w:lang w:eastAsia="da-DK"/>
        </w:rPr>
        <w:t>e</w:t>
      </w:r>
      <w:r w:rsidRPr="002B4869">
        <w:rPr>
          <w:noProof/>
          <w:color w:val="auto"/>
          <w:lang w:eastAsia="da-DK"/>
        </w:rPr>
        <w:t xml:space="preserve"> fordeler generelle fællesomkostninger inkl. bygningsomkostninger henført til generelle fællesomkostninger på de f</w:t>
      </w:r>
      <w:r w:rsidR="006D3AD1">
        <w:rPr>
          <w:noProof/>
          <w:color w:val="auto"/>
          <w:lang w:eastAsia="da-DK"/>
        </w:rPr>
        <w:t>em øvrige formål efter årsværk (eller lønsum)</w:t>
      </w:r>
      <w:r w:rsidRPr="002B4869">
        <w:rPr>
          <w:noProof/>
          <w:color w:val="auto"/>
          <w:lang w:eastAsia="da-DK"/>
        </w:rPr>
        <w:t>.</w:t>
      </w:r>
    </w:p>
    <w:p w14:paraId="4485CB22" w14:textId="77777777" w:rsidR="00DD4909" w:rsidRDefault="00DD4909" w:rsidP="00AA0F59">
      <w:pPr>
        <w:pStyle w:val="Opstilling-punkttegn"/>
        <w:numPr>
          <w:ilvl w:val="0"/>
          <w:numId w:val="0"/>
        </w:numPr>
        <w:rPr>
          <w:color w:val="auto"/>
        </w:rPr>
      </w:pPr>
    </w:p>
    <w:p w14:paraId="5BCEBD07" w14:textId="6857B212" w:rsidR="00DD4909" w:rsidRDefault="00DD4909" w:rsidP="00AA0F59">
      <w:pPr>
        <w:pStyle w:val="Opstilling-punkttegn"/>
        <w:numPr>
          <w:ilvl w:val="0"/>
          <w:numId w:val="0"/>
        </w:numPr>
        <w:rPr>
          <w:i/>
          <w:color w:val="auto"/>
        </w:rPr>
      </w:pPr>
      <w:r w:rsidRPr="00E4610C">
        <w:rPr>
          <w:i/>
          <w:color w:val="auto"/>
          <w:highlight w:val="lightGray"/>
        </w:rPr>
        <w:t xml:space="preserve">[Styrelsen for Institutioner og Uddannelsesstøtte udfærdiger de </w:t>
      </w:r>
      <w:r w:rsidR="004B27A2" w:rsidRPr="00E4610C">
        <w:rPr>
          <w:i/>
          <w:color w:val="auto"/>
          <w:highlight w:val="lightGray"/>
        </w:rPr>
        <w:t xml:space="preserve">endelige </w:t>
      </w:r>
      <w:r w:rsidRPr="00E4610C">
        <w:rPr>
          <w:i/>
          <w:color w:val="auto"/>
          <w:highlight w:val="lightGray"/>
        </w:rPr>
        <w:t>fordelingsmetoder</w:t>
      </w:r>
      <w:r w:rsidR="006E18F1">
        <w:rPr>
          <w:i/>
          <w:color w:val="auto"/>
          <w:highlight w:val="lightGray"/>
        </w:rPr>
        <w:t>.</w:t>
      </w:r>
      <w:r w:rsidR="008C1B4B">
        <w:rPr>
          <w:i/>
          <w:color w:val="auto"/>
          <w:highlight w:val="lightGray"/>
        </w:rPr>
        <w:t xml:space="preserve"> Forskelle i bygningsmasse (fx ’våde’ </w:t>
      </w:r>
      <w:proofErr w:type="spellStart"/>
      <w:r w:rsidR="008C1B4B">
        <w:rPr>
          <w:i/>
          <w:color w:val="auto"/>
          <w:highlight w:val="lightGray"/>
        </w:rPr>
        <w:t>ctr</w:t>
      </w:r>
      <w:proofErr w:type="spellEnd"/>
      <w:r w:rsidR="008C1B4B">
        <w:rPr>
          <w:i/>
          <w:color w:val="auto"/>
          <w:highlight w:val="lightGray"/>
        </w:rPr>
        <w:t>. ’tørre’ lokaler, skal inkorporeres i fordelingsmetoden</w:t>
      </w:r>
      <w:r w:rsidRPr="00E4610C">
        <w:rPr>
          <w:i/>
          <w:color w:val="auto"/>
          <w:highlight w:val="lightGray"/>
        </w:rPr>
        <w:t>.</w:t>
      </w:r>
      <w:r w:rsidR="008841B6">
        <w:rPr>
          <w:i/>
          <w:color w:val="auto"/>
          <w:highlight w:val="lightGray"/>
        </w:rPr>
        <w:t xml:space="preserve"> På baggrund af input fra flere institutioner, findes der et alternativ til fordeling efter et udtryk for bestand, fx årsværk og STÅ</w:t>
      </w:r>
      <w:r w:rsidRPr="00E4610C">
        <w:rPr>
          <w:i/>
          <w:color w:val="auto"/>
          <w:highlight w:val="lightGray"/>
        </w:rPr>
        <w:t>]</w:t>
      </w:r>
    </w:p>
    <w:p w14:paraId="15BCDE13" w14:textId="77777777" w:rsidR="004301F7" w:rsidRDefault="004301F7" w:rsidP="004301F7">
      <w:pPr>
        <w:pStyle w:val="Opstilling-punkttegn"/>
        <w:numPr>
          <w:ilvl w:val="0"/>
          <w:numId w:val="0"/>
        </w:numPr>
        <w:rPr>
          <w:i/>
          <w:color w:val="auto"/>
        </w:rPr>
      </w:pPr>
    </w:p>
    <w:p w14:paraId="2536A20B" w14:textId="77777777" w:rsidR="00DD4909" w:rsidRDefault="00DD4909" w:rsidP="00AA0F59">
      <w:pPr>
        <w:pStyle w:val="Opstilling-punkttegn"/>
        <w:numPr>
          <w:ilvl w:val="0"/>
          <w:numId w:val="0"/>
        </w:numPr>
        <w:rPr>
          <w:color w:val="auto"/>
        </w:rPr>
      </w:pPr>
    </w:p>
    <w:p w14:paraId="3BF33412" w14:textId="3C2B6146" w:rsidR="00AA0F59" w:rsidRPr="008D62C2" w:rsidRDefault="00AA0F59" w:rsidP="00AA0F59">
      <w:pPr>
        <w:pStyle w:val="Opstilling-punkttegn"/>
        <w:numPr>
          <w:ilvl w:val="0"/>
          <w:numId w:val="0"/>
        </w:numPr>
        <w:rPr>
          <w:color w:val="auto"/>
        </w:rPr>
      </w:pPr>
      <w:r w:rsidRPr="008D62C2">
        <w:rPr>
          <w:color w:val="auto"/>
        </w:rPr>
        <w:t xml:space="preserve">Nedenstående tekstboks </w:t>
      </w:r>
      <w:r w:rsidR="00DD4909">
        <w:rPr>
          <w:color w:val="auto"/>
        </w:rPr>
        <w:t xml:space="preserve">angiver </w:t>
      </w:r>
      <w:r w:rsidR="004B27A2">
        <w:rPr>
          <w:color w:val="auto"/>
        </w:rPr>
        <w:t xml:space="preserve">rammerne for </w:t>
      </w:r>
      <w:r w:rsidR="00DD4909">
        <w:rPr>
          <w:color w:val="auto"/>
        </w:rPr>
        <w:t>de generelle fordelingsmetoder</w:t>
      </w:r>
      <w:r w:rsidRPr="008D62C2">
        <w:rPr>
          <w:color w:val="auto"/>
        </w:rPr>
        <w:t>.</w:t>
      </w:r>
    </w:p>
    <w:p w14:paraId="7C217997" w14:textId="77777777" w:rsidR="00AA0F59" w:rsidRDefault="00AA0F59" w:rsidP="00AA0F59">
      <w:pPr>
        <w:pStyle w:val="Opstilling-punkttegn"/>
        <w:numPr>
          <w:ilvl w:val="0"/>
          <w:numId w:val="0"/>
        </w:numPr>
      </w:pPr>
    </w:p>
    <w:p w14:paraId="2B429B01" w14:textId="77777777" w:rsidR="00AA0F59" w:rsidRDefault="00AA0F59" w:rsidP="00AA0F59">
      <w:pPr>
        <w:pStyle w:val="Opstilling-punkttegn"/>
        <w:numPr>
          <w:ilvl w:val="0"/>
          <w:numId w:val="0"/>
        </w:numPr>
      </w:pPr>
    </w:p>
    <w:p w14:paraId="354146A9" w14:textId="77777777" w:rsidR="00AA0F59" w:rsidRDefault="00AA0F59" w:rsidP="00AA0F59">
      <w:pPr>
        <w:pStyle w:val="Opstilling-punkttegn"/>
        <w:numPr>
          <w:ilvl w:val="0"/>
          <w:numId w:val="0"/>
        </w:numPr>
      </w:pPr>
      <w:r w:rsidDel="003A4BB4">
        <w:lastRenderedPageBreak/>
        <w:t xml:space="preserve"> </w:t>
      </w:r>
      <w:r w:rsidR="00CF4DA5" w:rsidRPr="00CF4DA5">
        <w:rPr>
          <w:rFonts w:ascii="Arial" w:eastAsia="Arial" w:hAnsi="Arial" w:cs="Times New Roman"/>
          <w:noProof/>
          <w:color w:val="auto"/>
          <w:sz w:val="20"/>
          <w:szCs w:val="20"/>
          <w:lang w:eastAsia="da-DK"/>
        </w:rPr>
        <mc:AlternateContent>
          <mc:Choice Requires="wps">
            <w:drawing>
              <wp:inline distT="0" distB="0" distL="0" distR="0" wp14:anchorId="0B73F950" wp14:editId="4EA0E4FE">
                <wp:extent cx="5147945" cy="3838575"/>
                <wp:effectExtent l="0" t="0" r="14605" b="28575"/>
                <wp:docPr id="6" name="Rektangel 6"/>
                <wp:cNvGraphicFramePr/>
                <a:graphic xmlns:a="http://schemas.openxmlformats.org/drawingml/2006/main">
                  <a:graphicData uri="http://schemas.microsoft.com/office/word/2010/wordprocessingShape">
                    <wps:wsp>
                      <wps:cNvSpPr/>
                      <wps:spPr>
                        <a:xfrm>
                          <a:off x="0" y="0"/>
                          <a:ext cx="5147945" cy="3838575"/>
                        </a:xfrm>
                        <a:prstGeom prst="rect">
                          <a:avLst/>
                        </a:prstGeom>
                        <a:solidFill>
                          <a:srgbClr val="19528F">
                            <a:lumMod val="60000"/>
                            <a:lumOff val="40000"/>
                          </a:srgbClr>
                        </a:solidFill>
                        <a:ln w="3175" cap="flat" cmpd="sng" algn="ctr">
                          <a:solidFill>
                            <a:srgbClr val="BF1C80">
                              <a:shade val="50000"/>
                            </a:srgbClr>
                          </a:solidFill>
                          <a:prstDash val="solid"/>
                        </a:ln>
                        <a:effectLst/>
                      </wps:spPr>
                      <wps:txbx>
                        <w:txbxContent>
                          <w:p w14:paraId="50D3694A" w14:textId="7AB04084" w:rsidR="00B00638" w:rsidRPr="00725EBF" w:rsidRDefault="00B00638" w:rsidP="00CF4DA5">
                            <w:pPr>
                              <w:rPr>
                                <w:b/>
                                <w:i/>
                                <w:color w:val="FFFFFF" w:themeColor="background1"/>
                              </w:rPr>
                            </w:pPr>
                            <w:r w:rsidRPr="00725EBF">
                              <w:rPr>
                                <w:b/>
                                <w:i/>
                                <w:color w:val="FFFFFF" w:themeColor="background1"/>
                              </w:rPr>
                              <w:t>Boks 2. Metode til fordeling af</w:t>
                            </w:r>
                            <w:r w:rsidRPr="005F79ED">
                              <w:rPr>
                                <w:b/>
                                <w:i/>
                                <w:color w:val="FFFFFF" w:themeColor="background1"/>
                              </w:rPr>
                              <w:t xml:space="preserve"> bygningsomkostninger</w:t>
                            </w:r>
                            <w:r w:rsidRPr="0013204C">
                              <w:rPr>
                                <w:b/>
                                <w:i/>
                                <w:color w:val="FFFFFF" w:themeColor="background1"/>
                              </w:rPr>
                              <w:t xml:space="preserve"> </w:t>
                            </w:r>
                            <w:r>
                              <w:rPr>
                                <w:b/>
                                <w:i/>
                                <w:color w:val="FFFFFF" w:themeColor="background1"/>
                              </w:rPr>
                              <w:t>og generelle fællesomkostninger</w:t>
                            </w:r>
                            <w:r w:rsidRPr="00725EBF">
                              <w:rPr>
                                <w:b/>
                                <w:i/>
                                <w:color w:val="FFFFFF" w:themeColor="background1"/>
                              </w:rPr>
                              <w:t xml:space="preserve">: (alle bestandsopgørelser er </w:t>
                            </w:r>
                            <w:proofErr w:type="spellStart"/>
                            <w:r w:rsidRPr="00725EBF">
                              <w:rPr>
                                <w:b/>
                                <w:i/>
                                <w:color w:val="FFFFFF" w:themeColor="background1"/>
                              </w:rPr>
                              <w:t>pba</w:t>
                            </w:r>
                            <w:proofErr w:type="spellEnd"/>
                            <w:r w:rsidRPr="00725EBF">
                              <w:rPr>
                                <w:b/>
                                <w:i/>
                                <w:color w:val="FFFFFF" w:themeColor="background1"/>
                              </w:rPr>
                              <w:t xml:space="preserve">. </w:t>
                            </w:r>
                            <w:proofErr w:type="spellStart"/>
                            <w:r w:rsidRPr="00725EBF">
                              <w:rPr>
                                <w:b/>
                                <w:i/>
                                <w:color w:val="FFFFFF" w:themeColor="background1"/>
                              </w:rPr>
                              <w:t>headcount</w:t>
                            </w:r>
                            <w:proofErr w:type="spellEnd"/>
                            <w:r w:rsidRPr="00725EBF">
                              <w:rPr>
                                <w:b/>
                                <w:i/>
                                <w:color w:val="FFFFFF" w:themeColor="background1"/>
                              </w:rPr>
                              <w:t>):</w:t>
                            </w:r>
                          </w:p>
                          <w:p w14:paraId="597B1978" w14:textId="77777777" w:rsidR="00B00638" w:rsidRPr="00725EBF" w:rsidRDefault="00B00638" w:rsidP="00CF4DA5">
                            <w:pPr>
                              <w:rPr>
                                <w:color w:val="FFFFFF" w:themeColor="background1"/>
                              </w:rPr>
                            </w:pPr>
                          </w:p>
                          <w:p w14:paraId="628CE569" w14:textId="56A8041C" w:rsidR="00B00638" w:rsidRPr="00725EBF" w:rsidRDefault="00B00638" w:rsidP="00CF4DA5">
                            <w:pPr>
                              <w:rPr>
                                <w:color w:val="FFFFFF" w:themeColor="background1"/>
                              </w:rPr>
                            </w:pPr>
                            <w:r w:rsidRPr="00725EBF">
                              <w:rPr>
                                <w:color w:val="FFFFFF" w:themeColor="background1"/>
                              </w:rPr>
                              <w:t xml:space="preserve">1. Fordeling af </w:t>
                            </w:r>
                            <w:r w:rsidRPr="00725EBF">
                              <w:rPr>
                                <w:b/>
                                <w:color w:val="FFFFFF" w:themeColor="background1"/>
                              </w:rPr>
                              <w:t>bygningsomkostninger</w:t>
                            </w:r>
                            <w:r w:rsidRPr="00725EBF">
                              <w:rPr>
                                <w:color w:val="FFFFFF" w:themeColor="background1"/>
                              </w:rPr>
                              <w:t xml:space="preserve"> på de seks øvrige formål: </w:t>
                            </w:r>
                          </w:p>
                          <w:p w14:paraId="5249DEA9" w14:textId="77777777" w:rsidR="00B00638" w:rsidRPr="00725EBF" w:rsidRDefault="00B00638" w:rsidP="00CF4DA5">
                            <w:pPr>
                              <w:rPr>
                                <w:color w:val="FFFFFF" w:themeColor="background1"/>
                              </w:rPr>
                            </w:pPr>
                            <w:r w:rsidRPr="00725EBF">
                              <w:rPr>
                                <w:color w:val="FFFFFF" w:themeColor="background1"/>
                              </w:rPr>
                              <w:t xml:space="preserve">- bestanddelen af bygningsomkostningerne fordeles efter </w:t>
                            </w:r>
                            <w:r>
                              <w:rPr>
                                <w:color w:val="FFFFFF" w:themeColor="background1"/>
                              </w:rPr>
                              <w:t xml:space="preserve">et udtryk for </w:t>
                            </w:r>
                            <w:r w:rsidRPr="00725EBF">
                              <w:rPr>
                                <w:color w:val="FFFFFF" w:themeColor="background1"/>
                              </w:rPr>
                              <w:t>bestand</w:t>
                            </w:r>
                            <w:r>
                              <w:rPr>
                                <w:color w:val="FFFFFF" w:themeColor="background1"/>
                              </w:rPr>
                              <w:t xml:space="preserve">, der omfatter </w:t>
                            </w:r>
                            <w:r w:rsidRPr="00725EBF">
                              <w:rPr>
                                <w:color w:val="FFFFFF" w:themeColor="background1"/>
                              </w:rPr>
                              <w:t>ansatte</w:t>
                            </w:r>
                            <w:r>
                              <w:rPr>
                                <w:color w:val="FFFFFF" w:themeColor="background1"/>
                              </w:rPr>
                              <w:t xml:space="preserve"> og </w:t>
                            </w:r>
                            <w:r w:rsidRPr="00725EBF">
                              <w:rPr>
                                <w:color w:val="FFFFFF" w:themeColor="background1"/>
                              </w:rPr>
                              <w:t>studerende</w:t>
                            </w:r>
                          </w:p>
                          <w:p w14:paraId="76EFDA59" w14:textId="06B27F44" w:rsidR="00B00638" w:rsidRPr="00725EBF" w:rsidRDefault="00B00638" w:rsidP="00CF4DA5">
                            <w:pPr>
                              <w:ind w:left="142" w:hanging="142"/>
                              <w:rPr>
                                <w:color w:val="FFFFFF" w:themeColor="background1"/>
                              </w:rPr>
                            </w:pPr>
                            <w:r w:rsidRPr="00725EBF">
                              <w:rPr>
                                <w:color w:val="FFFFFF" w:themeColor="background1"/>
                              </w:rPr>
                              <w:t xml:space="preserve">- bygningsomkostninger, som alene medgår til produktion på ét eller flere stednumre fordeles alene på de seks formål på dette/disse stednumre efter </w:t>
                            </w:r>
                            <w:r>
                              <w:rPr>
                                <w:color w:val="FFFFFF" w:themeColor="background1"/>
                              </w:rPr>
                              <w:t xml:space="preserve">et udtryk for </w:t>
                            </w:r>
                            <w:r w:rsidRPr="00D47B59">
                              <w:rPr>
                                <w:color w:val="FFFFFF" w:themeColor="background1"/>
                              </w:rPr>
                              <w:t>bestand</w:t>
                            </w:r>
                            <w:r>
                              <w:rPr>
                                <w:color w:val="FFFFFF" w:themeColor="background1"/>
                              </w:rPr>
                              <w:t xml:space="preserve">, der omfatter </w:t>
                            </w:r>
                            <w:r w:rsidRPr="00D47B59">
                              <w:rPr>
                                <w:color w:val="FFFFFF" w:themeColor="background1"/>
                              </w:rPr>
                              <w:t>ansatte</w:t>
                            </w:r>
                            <w:r>
                              <w:rPr>
                                <w:color w:val="FFFFFF" w:themeColor="background1"/>
                              </w:rPr>
                              <w:t xml:space="preserve"> og </w:t>
                            </w:r>
                            <w:r w:rsidRPr="00D47B59">
                              <w:rPr>
                                <w:color w:val="FFFFFF" w:themeColor="background1"/>
                              </w:rPr>
                              <w:t>studerende</w:t>
                            </w:r>
                          </w:p>
                          <w:p w14:paraId="6A988A2E" w14:textId="77777777" w:rsidR="00B00638" w:rsidRPr="00725EBF" w:rsidRDefault="00B00638" w:rsidP="00725EBF">
                            <w:pPr>
                              <w:ind w:left="142"/>
                              <w:rPr>
                                <w:color w:val="FFFFFF" w:themeColor="background1"/>
                              </w:rPr>
                            </w:pPr>
                            <w:r w:rsidRPr="00725EBF">
                              <w:rPr>
                                <w:color w:val="FFFFFF" w:themeColor="background1"/>
                              </w:rPr>
                              <w:t>Baggrund for fordeling</w:t>
                            </w:r>
                            <w:r>
                              <w:rPr>
                                <w:color w:val="FFFFFF" w:themeColor="background1"/>
                              </w:rPr>
                              <w:t>smetode</w:t>
                            </w:r>
                            <w:r w:rsidRPr="00725EBF">
                              <w:rPr>
                                <w:color w:val="FFFFFF" w:themeColor="background1"/>
                              </w:rPr>
                              <w:t xml:space="preserve">: </w:t>
                            </w:r>
                            <w:r>
                              <w:rPr>
                                <w:color w:val="FFFFFF" w:themeColor="background1"/>
                              </w:rPr>
                              <w:t>Et udtryk for b</w:t>
                            </w:r>
                            <w:r w:rsidRPr="00725EBF">
                              <w:rPr>
                                <w:color w:val="FFFFFF" w:themeColor="background1"/>
                              </w:rPr>
                              <w:t xml:space="preserve">estand </w:t>
                            </w:r>
                            <w:r>
                              <w:rPr>
                                <w:color w:val="FFFFFF" w:themeColor="background1"/>
                              </w:rPr>
                              <w:t xml:space="preserve">kan angive en omkostningsdriver for de omkostninger, der medgår til bygningsdrift. Den forventede bestand af ansatte og studerende kan have dannet grundlag for dimensionering af bygninger og bygningsdrift. Udtrykket for bestand kan tage højde for opdelinger i eksperimentelle og ikke-eksperimentelle fag og fagområder. </w:t>
                            </w:r>
                          </w:p>
                          <w:p w14:paraId="78F9FEAB" w14:textId="77777777" w:rsidR="00B00638" w:rsidRPr="00725EBF" w:rsidRDefault="00B00638" w:rsidP="00CF4DA5">
                            <w:pPr>
                              <w:ind w:left="142" w:hanging="142"/>
                              <w:rPr>
                                <w:color w:val="FFFFFF" w:themeColor="background1"/>
                              </w:rPr>
                            </w:pPr>
                          </w:p>
                          <w:p w14:paraId="29ABDEE8" w14:textId="08C9060F" w:rsidR="00B00638" w:rsidRPr="00725EBF" w:rsidRDefault="00B00638" w:rsidP="00CF4DA5">
                            <w:pPr>
                              <w:rPr>
                                <w:color w:val="FFFFFF" w:themeColor="background1"/>
                              </w:rPr>
                            </w:pPr>
                            <w:r w:rsidRPr="00725EBF">
                              <w:rPr>
                                <w:color w:val="FFFFFF" w:themeColor="background1"/>
                              </w:rPr>
                              <w:t xml:space="preserve">2. </w:t>
                            </w:r>
                            <w:r w:rsidRPr="00725EBF">
                              <w:rPr>
                                <w:b/>
                                <w:color w:val="FFFFFF" w:themeColor="background1"/>
                              </w:rPr>
                              <w:t>Generelle fællesomkostninger</w:t>
                            </w:r>
                            <w:r w:rsidRPr="00725EBF">
                              <w:rPr>
                                <w:color w:val="FFFFFF" w:themeColor="background1"/>
                              </w:rPr>
                              <w:t xml:space="preserve"> fordeles på de fem primære formål efter </w:t>
                            </w:r>
                            <w:r>
                              <w:rPr>
                                <w:color w:val="FFFFFF" w:themeColor="background1"/>
                              </w:rPr>
                              <w:t>årsværk eller lønsum</w:t>
                            </w:r>
                            <w:r w:rsidRPr="00725EBF">
                              <w:rPr>
                                <w:color w:val="FFFFFF" w:themeColor="background1"/>
                              </w:rPr>
                              <w:t>.</w:t>
                            </w:r>
                          </w:p>
                          <w:p w14:paraId="41933CA1" w14:textId="77777777" w:rsidR="00B00638" w:rsidRPr="00725EBF" w:rsidRDefault="00B00638" w:rsidP="00CF4DA5">
                            <w:pPr>
                              <w:ind w:left="142"/>
                              <w:rPr>
                                <w:color w:val="FFFFFF" w:themeColor="background1"/>
                              </w:rPr>
                            </w:pPr>
                            <w:r w:rsidRPr="00725EBF">
                              <w:rPr>
                                <w:color w:val="FFFFFF" w:themeColor="background1"/>
                              </w:rPr>
                              <w:t>Baggrund for fordeling</w:t>
                            </w:r>
                            <w:r>
                              <w:rPr>
                                <w:color w:val="FFFFFF" w:themeColor="background1"/>
                              </w:rPr>
                              <w:t>smetode</w:t>
                            </w:r>
                            <w:r w:rsidRPr="00725EBF">
                              <w:rPr>
                                <w:color w:val="FFFFFF" w:themeColor="background1"/>
                              </w:rPr>
                              <w:t xml:space="preserve">: Lønsum </w:t>
                            </w:r>
                            <w:r>
                              <w:rPr>
                                <w:color w:val="FFFFFF" w:themeColor="background1"/>
                              </w:rPr>
                              <w:t xml:space="preserve">udtrykker såvel fordelingen af årsværk som de enkelte årsværks vægt som omkostningsdriver for de generelle fællesomkostninger, idet </w:t>
                            </w:r>
                            <w:r w:rsidRPr="00725EBF">
                              <w:rPr>
                                <w:color w:val="FFFFFF" w:themeColor="background1"/>
                              </w:rPr>
                              <w:t>eksempelvis e</w:t>
                            </w:r>
                            <w:r>
                              <w:rPr>
                                <w:color w:val="FFFFFF" w:themeColor="background1"/>
                              </w:rPr>
                              <w:t>t</w:t>
                            </w:r>
                            <w:r w:rsidRPr="00725EBF">
                              <w:rPr>
                                <w:color w:val="FFFFFF" w:themeColor="background1"/>
                              </w:rPr>
                              <w:t xml:space="preserve"> </w:t>
                            </w:r>
                            <w:r>
                              <w:rPr>
                                <w:color w:val="FFFFFF" w:themeColor="background1"/>
                              </w:rPr>
                              <w:t xml:space="preserve">lektorårsværk antages </w:t>
                            </w:r>
                            <w:r w:rsidRPr="00725EBF">
                              <w:rPr>
                                <w:color w:val="FFFFFF" w:themeColor="background1"/>
                              </w:rPr>
                              <w:t xml:space="preserve">i højere grad vil drive generelle fællesomkostninger </w:t>
                            </w:r>
                            <w:r>
                              <w:rPr>
                                <w:color w:val="FFFFFF" w:themeColor="background1"/>
                              </w:rPr>
                              <w:t>end et studenterinstruktorårsværk.</w:t>
                            </w:r>
                          </w:p>
                          <w:p w14:paraId="4889B7DE" w14:textId="77777777" w:rsidR="00B00638" w:rsidRPr="00CF4DA5" w:rsidRDefault="00B00638" w:rsidP="00CF4DA5">
                            <w:pPr>
                              <w:rPr>
                                <w:b/>
                                <w:i/>
                                <w:color w:val="4632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B73F950" id="Rektangel 6" o:spid="_x0000_s1027" style="width:405.35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" fillcolor="#5096e0" strokecolor="#8c115c" strokeweight=".25pt">
                <v:textbox>
                  <w:txbxContent>
                    <w:p w14:paraId="50D3694A" w14:textId="7AB04084" w:rsidR="00B00638" w:rsidRPr="00725EBF" w:rsidRDefault="00B00638" w:rsidP="00CF4DA5">
                      <w:pPr>
                        <w:rPr>
                          <w:b/>
                          <w:i/>
                          <w:color w:val="FFFFFF" w:themeColor="background1"/>
                        </w:rPr>
                      </w:pPr>
                      <w:r w:rsidRPr="00725EBF">
                        <w:rPr>
                          <w:b/>
                          <w:i/>
                          <w:color w:val="FFFFFF" w:themeColor="background1"/>
                        </w:rPr>
                        <w:t>Boks 2. Metode til fordeling af</w:t>
                      </w:r>
                      <w:r w:rsidRPr="005F79ED">
                        <w:rPr>
                          <w:b/>
                          <w:i/>
                          <w:color w:val="FFFFFF" w:themeColor="background1"/>
                        </w:rPr>
                        <w:t xml:space="preserve"> bygningsomkostninger</w:t>
                      </w:r>
                      <w:r w:rsidRPr="0013204C">
                        <w:rPr>
                          <w:b/>
                          <w:i/>
                          <w:color w:val="FFFFFF" w:themeColor="background1"/>
                        </w:rPr>
                        <w:t xml:space="preserve"> </w:t>
                      </w:r>
                      <w:r>
                        <w:rPr>
                          <w:b/>
                          <w:i/>
                          <w:color w:val="FFFFFF" w:themeColor="background1"/>
                        </w:rPr>
                        <w:t>og generelle fællesomkostninger</w:t>
                      </w:r>
                      <w:r w:rsidRPr="00725EBF">
                        <w:rPr>
                          <w:b/>
                          <w:i/>
                          <w:color w:val="FFFFFF" w:themeColor="background1"/>
                        </w:rPr>
                        <w:t xml:space="preserve">: (alle bestandsopgørelser er </w:t>
                      </w:r>
                      <w:proofErr w:type="spellStart"/>
                      <w:r w:rsidRPr="00725EBF">
                        <w:rPr>
                          <w:b/>
                          <w:i/>
                          <w:color w:val="FFFFFF" w:themeColor="background1"/>
                        </w:rPr>
                        <w:t>pba</w:t>
                      </w:r>
                      <w:proofErr w:type="spellEnd"/>
                      <w:r w:rsidRPr="00725EBF">
                        <w:rPr>
                          <w:b/>
                          <w:i/>
                          <w:color w:val="FFFFFF" w:themeColor="background1"/>
                        </w:rPr>
                        <w:t xml:space="preserve">. </w:t>
                      </w:r>
                      <w:proofErr w:type="spellStart"/>
                      <w:r w:rsidRPr="00725EBF">
                        <w:rPr>
                          <w:b/>
                          <w:i/>
                          <w:color w:val="FFFFFF" w:themeColor="background1"/>
                        </w:rPr>
                        <w:t>headcount</w:t>
                      </w:r>
                      <w:proofErr w:type="spellEnd"/>
                      <w:r w:rsidRPr="00725EBF">
                        <w:rPr>
                          <w:b/>
                          <w:i/>
                          <w:color w:val="FFFFFF" w:themeColor="background1"/>
                        </w:rPr>
                        <w:t>):</w:t>
                      </w:r>
                    </w:p>
                    <w:p w14:paraId="597B1978" w14:textId="77777777" w:rsidR="00B00638" w:rsidRPr="00725EBF" w:rsidRDefault="00B00638" w:rsidP="00CF4DA5">
                      <w:pPr>
                        <w:rPr>
                          <w:color w:val="FFFFFF" w:themeColor="background1"/>
                        </w:rPr>
                      </w:pPr>
                    </w:p>
                    <w:p w14:paraId="628CE569" w14:textId="56A8041C" w:rsidR="00B00638" w:rsidRPr="00725EBF" w:rsidRDefault="00B00638" w:rsidP="00CF4DA5">
                      <w:pPr>
                        <w:rPr>
                          <w:color w:val="FFFFFF" w:themeColor="background1"/>
                        </w:rPr>
                      </w:pPr>
                      <w:r w:rsidRPr="00725EBF">
                        <w:rPr>
                          <w:color w:val="FFFFFF" w:themeColor="background1"/>
                        </w:rPr>
                        <w:t xml:space="preserve">1. Fordeling af </w:t>
                      </w:r>
                      <w:r w:rsidRPr="00725EBF">
                        <w:rPr>
                          <w:b/>
                          <w:color w:val="FFFFFF" w:themeColor="background1"/>
                        </w:rPr>
                        <w:t>bygningsomkostninger</w:t>
                      </w:r>
                      <w:r w:rsidRPr="00725EBF">
                        <w:rPr>
                          <w:color w:val="FFFFFF" w:themeColor="background1"/>
                        </w:rPr>
                        <w:t xml:space="preserve"> på de seks øvrige formål: </w:t>
                      </w:r>
                    </w:p>
                    <w:p w14:paraId="5249DEA9" w14:textId="77777777" w:rsidR="00B00638" w:rsidRPr="00725EBF" w:rsidRDefault="00B00638" w:rsidP="00CF4DA5">
                      <w:pPr>
                        <w:rPr>
                          <w:color w:val="FFFFFF" w:themeColor="background1"/>
                        </w:rPr>
                      </w:pPr>
                      <w:r w:rsidRPr="00725EBF">
                        <w:rPr>
                          <w:color w:val="FFFFFF" w:themeColor="background1"/>
                        </w:rPr>
                        <w:t xml:space="preserve">- bestanddelen af bygningsomkostningerne fordeles efter </w:t>
                      </w:r>
                      <w:r>
                        <w:rPr>
                          <w:color w:val="FFFFFF" w:themeColor="background1"/>
                        </w:rPr>
                        <w:t xml:space="preserve">et udtryk for </w:t>
                      </w:r>
                      <w:r w:rsidRPr="00725EBF">
                        <w:rPr>
                          <w:color w:val="FFFFFF" w:themeColor="background1"/>
                        </w:rPr>
                        <w:t>bestand</w:t>
                      </w:r>
                      <w:r>
                        <w:rPr>
                          <w:color w:val="FFFFFF" w:themeColor="background1"/>
                        </w:rPr>
                        <w:t xml:space="preserve">, der omfatter </w:t>
                      </w:r>
                      <w:r w:rsidRPr="00725EBF">
                        <w:rPr>
                          <w:color w:val="FFFFFF" w:themeColor="background1"/>
                        </w:rPr>
                        <w:t>ansatte</w:t>
                      </w:r>
                      <w:r>
                        <w:rPr>
                          <w:color w:val="FFFFFF" w:themeColor="background1"/>
                        </w:rPr>
                        <w:t xml:space="preserve"> og </w:t>
                      </w:r>
                      <w:r w:rsidRPr="00725EBF">
                        <w:rPr>
                          <w:color w:val="FFFFFF" w:themeColor="background1"/>
                        </w:rPr>
                        <w:t>studerende</w:t>
                      </w:r>
                    </w:p>
                    <w:p w14:paraId="76EFDA59" w14:textId="06B27F44" w:rsidR="00B00638" w:rsidRPr="00725EBF" w:rsidRDefault="00B00638" w:rsidP="00CF4DA5">
                      <w:pPr>
                        <w:ind w:left="142" w:hanging="142"/>
                        <w:rPr>
                          <w:color w:val="FFFFFF" w:themeColor="background1"/>
                        </w:rPr>
                      </w:pPr>
                      <w:r w:rsidRPr="00725EBF">
                        <w:rPr>
                          <w:color w:val="FFFFFF" w:themeColor="background1"/>
                        </w:rPr>
                        <w:t xml:space="preserve">- bygningsomkostninger, som alene medgår til produktion på ét eller flere stednumre fordeles alene på de seks formål på dette/disse stednumre efter </w:t>
                      </w:r>
                      <w:r>
                        <w:rPr>
                          <w:color w:val="FFFFFF" w:themeColor="background1"/>
                        </w:rPr>
                        <w:t xml:space="preserve">et udtryk for </w:t>
                      </w:r>
                      <w:r w:rsidRPr="00D47B59">
                        <w:rPr>
                          <w:color w:val="FFFFFF" w:themeColor="background1"/>
                        </w:rPr>
                        <w:t>bestand</w:t>
                      </w:r>
                      <w:r>
                        <w:rPr>
                          <w:color w:val="FFFFFF" w:themeColor="background1"/>
                        </w:rPr>
                        <w:t xml:space="preserve">, der omfatter </w:t>
                      </w:r>
                      <w:r w:rsidRPr="00D47B59">
                        <w:rPr>
                          <w:color w:val="FFFFFF" w:themeColor="background1"/>
                        </w:rPr>
                        <w:t>ansatte</w:t>
                      </w:r>
                      <w:r>
                        <w:rPr>
                          <w:color w:val="FFFFFF" w:themeColor="background1"/>
                        </w:rPr>
                        <w:t xml:space="preserve"> og </w:t>
                      </w:r>
                      <w:r w:rsidRPr="00D47B59">
                        <w:rPr>
                          <w:color w:val="FFFFFF" w:themeColor="background1"/>
                        </w:rPr>
                        <w:t>studerende</w:t>
                      </w:r>
                    </w:p>
                    <w:p w14:paraId="6A988A2E" w14:textId="77777777" w:rsidR="00B00638" w:rsidRPr="00725EBF" w:rsidRDefault="00B00638" w:rsidP="00725EBF">
                      <w:pPr>
                        <w:ind w:left="142"/>
                        <w:rPr>
                          <w:color w:val="FFFFFF" w:themeColor="background1"/>
                        </w:rPr>
                      </w:pPr>
                      <w:r w:rsidRPr="00725EBF">
                        <w:rPr>
                          <w:color w:val="FFFFFF" w:themeColor="background1"/>
                        </w:rPr>
                        <w:t>Baggrund for fordeling</w:t>
                      </w:r>
                      <w:r>
                        <w:rPr>
                          <w:color w:val="FFFFFF" w:themeColor="background1"/>
                        </w:rPr>
                        <w:t>smetode</w:t>
                      </w:r>
                      <w:r w:rsidRPr="00725EBF">
                        <w:rPr>
                          <w:color w:val="FFFFFF" w:themeColor="background1"/>
                        </w:rPr>
                        <w:t xml:space="preserve">: </w:t>
                      </w:r>
                      <w:r>
                        <w:rPr>
                          <w:color w:val="FFFFFF" w:themeColor="background1"/>
                        </w:rPr>
                        <w:t>Et udtryk for b</w:t>
                      </w:r>
                      <w:r w:rsidRPr="00725EBF">
                        <w:rPr>
                          <w:color w:val="FFFFFF" w:themeColor="background1"/>
                        </w:rPr>
                        <w:t xml:space="preserve">estand </w:t>
                      </w:r>
                      <w:r>
                        <w:rPr>
                          <w:color w:val="FFFFFF" w:themeColor="background1"/>
                        </w:rPr>
                        <w:t xml:space="preserve">kan angive en omkostningsdriver for de omkostninger, der medgår til bygningsdrift. Den forventede bestand af ansatte og studerende kan have dannet grundlag for dimensionering af bygninger og bygningsdrift. Udtrykket for bestand kan tage højde for opdelinger i eksperimentelle og ikke-eksperimentelle fag og fagområder. </w:t>
                      </w:r>
                    </w:p>
                    <w:p w14:paraId="78F9FEAB" w14:textId="77777777" w:rsidR="00B00638" w:rsidRPr="00725EBF" w:rsidRDefault="00B00638" w:rsidP="00CF4DA5">
                      <w:pPr>
                        <w:ind w:left="142" w:hanging="142"/>
                        <w:rPr>
                          <w:color w:val="FFFFFF" w:themeColor="background1"/>
                        </w:rPr>
                      </w:pPr>
                    </w:p>
                    <w:p w14:paraId="29ABDEE8" w14:textId="08C9060F" w:rsidR="00B00638" w:rsidRPr="00725EBF" w:rsidRDefault="00B00638" w:rsidP="00CF4DA5">
                      <w:pPr>
                        <w:rPr>
                          <w:color w:val="FFFFFF" w:themeColor="background1"/>
                        </w:rPr>
                      </w:pPr>
                      <w:r w:rsidRPr="00725EBF">
                        <w:rPr>
                          <w:color w:val="FFFFFF" w:themeColor="background1"/>
                        </w:rPr>
                        <w:t xml:space="preserve">2. </w:t>
                      </w:r>
                      <w:r w:rsidRPr="00725EBF">
                        <w:rPr>
                          <w:b/>
                          <w:color w:val="FFFFFF" w:themeColor="background1"/>
                        </w:rPr>
                        <w:t>Generelle fællesomkostninger</w:t>
                      </w:r>
                      <w:r w:rsidRPr="00725EBF">
                        <w:rPr>
                          <w:color w:val="FFFFFF" w:themeColor="background1"/>
                        </w:rPr>
                        <w:t xml:space="preserve"> fordeles på de fem primære formål efter </w:t>
                      </w:r>
                      <w:r>
                        <w:rPr>
                          <w:color w:val="FFFFFF" w:themeColor="background1"/>
                        </w:rPr>
                        <w:t>årsværk eller lønsum</w:t>
                      </w:r>
                      <w:r w:rsidRPr="00725EBF">
                        <w:rPr>
                          <w:color w:val="FFFFFF" w:themeColor="background1"/>
                        </w:rPr>
                        <w:t>.</w:t>
                      </w:r>
                    </w:p>
                    <w:p w14:paraId="41933CA1" w14:textId="77777777" w:rsidR="00B00638" w:rsidRPr="00725EBF" w:rsidRDefault="00B00638" w:rsidP="00CF4DA5">
                      <w:pPr>
                        <w:ind w:left="142"/>
                        <w:rPr>
                          <w:color w:val="FFFFFF" w:themeColor="background1"/>
                        </w:rPr>
                      </w:pPr>
                      <w:r w:rsidRPr="00725EBF">
                        <w:rPr>
                          <w:color w:val="FFFFFF" w:themeColor="background1"/>
                        </w:rPr>
                        <w:t>Baggrund for fordeling</w:t>
                      </w:r>
                      <w:r>
                        <w:rPr>
                          <w:color w:val="FFFFFF" w:themeColor="background1"/>
                        </w:rPr>
                        <w:t>smetode</w:t>
                      </w:r>
                      <w:r w:rsidRPr="00725EBF">
                        <w:rPr>
                          <w:color w:val="FFFFFF" w:themeColor="background1"/>
                        </w:rPr>
                        <w:t xml:space="preserve">: Lønsum </w:t>
                      </w:r>
                      <w:r>
                        <w:rPr>
                          <w:color w:val="FFFFFF" w:themeColor="background1"/>
                        </w:rPr>
                        <w:t xml:space="preserve">udtrykker såvel fordelingen af årsværk som de enkelte årsværks vægt som omkostningsdriver for de generelle fællesomkostninger, idet </w:t>
                      </w:r>
                      <w:r w:rsidRPr="00725EBF">
                        <w:rPr>
                          <w:color w:val="FFFFFF" w:themeColor="background1"/>
                        </w:rPr>
                        <w:t>eksempelvis e</w:t>
                      </w:r>
                      <w:r>
                        <w:rPr>
                          <w:color w:val="FFFFFF" w:themeColor="background1"/>
                        </w:rPr>
                        <w:t>t</w:t>
                      </w:r>
                      <w:r w:rsidRPr="00725EBF">
                        <w:rPr>
                          <w:color w:val="FFFFFF" w:themeColor="background1"/>
                        </w:rPr>
                        <w:t xml:space="preserve"> </w:t>
                      </w:r>
                      <w:r>
                        <w:rPr>
                          <w:color w:val="FFFFFF" w:themeColor="background1"/>
                        </w:rPr>
                        <w:t xml:space="preserve">lektorårsværk antages </w:t>
                      </w:r>
                      <w:r w:rsidRPr="00725EBF">
                        <w:rPr>
                          <w:color w:val="FFFFFF" w:themeColor="background1"/>
                        </w:rPr>
                        <w:t xml:space="preserve">i højere grad vil drive generelle fællesomkostninger </w:t>
                      </w:r>
                      <w:r>
                        <w:rPr>
                          <w:color w:val="FFFFFF" w:themeColor="background1"/>
                        </w:rPr>
                        <w:t>end et studenterinstruktorårsværk.</w:t>
                      </w:r>
                    </w:p>
                    <w:p w14:paraId="4889B7DE" w14:textId="77777777" w:rsidR="00B00638" w:rsidRPr="00CF4DA5" w:rsidRDefault="00B00638" w:rsidP="00CF4DA5">
                      <w:pPr>
                        <w:rPr>
                          <w:b/>
                          <w:i/>
                          <w:color w:val="46328C"/>
                        </w:rPr>
                      </w:pPr>
                    </w:p>
                  </w:txbxContent>
                </v:textbox>
                <w10:anchorlock/>
              </v:rect>
            </w:pict>
          </mc:Fallback>
        </mc:AlternateContent>
      </w:r>
    </w:p>
    <w:p w14:paraId="24409E4F" w14:textId="6287D0C7" w:rsidR="00AA0F59" w:rsidRDefault="00AA0F59" w:rsidP="00AA0F59">
      <w:pPr>
        <w:pStyle w:val="Opstilling-punkttegn"/>
        <w:numPr>
          <w:ilvl w:val="0"/>
          <w:numId w:val="0"/>
        </w:numPr>
      </w:pPr>
    </w:p>
    <w:p w14:paraId="0F614534" w14:textId="4E078B31" w:rsidR="00D855EB" w:rsidRPr="00D855EB" w:rsidRDefault="00D855EB" w:rsidP="00AA0F59">
      <w:pPr>
        <w:pStyle w:val="Opstilling-punkttegn"/>
        <w:numPr>
          <w:ilvl w:val="0"/>
          <w:numId w:val="0"/>
        </w:numPr>
        <w:rPr>
          <w:i/>
          <w:color w:val="auto"/>
        </w:rPr>
      </w:pPr>
      <w:r w:rsidRPr="00D855EB">
        <w:rPr>
          <w:i/>
          <w:color w:val="auto"/>
          <w:highlight w:val="lightGray"/>
        </w:rPr>
        <w:t>[De generelle fordelingsmetoder udfoldes af SIU i samarbejde med institutionerne</w:t>
      </w:r>
      <w:r w:rsidR="008841B6">
        <w:rPr>
          <w:i/>
          <w:color w:val="auto"/>
          <w:highlight w:val="lightGray"/>
        </w:rPr>
        <w:t>. På baggrund af input fra flere institutioner, findes der et alternativ til fordeling efter et udtryk for bestand, fx årsværk og STÅ</w:t>
      </w:r>
      <w:r w:rsidR="008841B6" w:rsidRPr="00E4610C">
        <w:rPr>
          <w:i/>
          <w:color w:val="auto"/>
          <w:highlight w:val="lightGray"/>
        </w:rPr>
        <w:t>]</w:t>
      </w:r>
      <w:r w:rsidRPr="00D855EB">
        <w:rPr>
          <w:i/>
          <w:color w:val="auto"/>
          <w:highlight w:val="lightGray"/>
        </w:rPr>
        <w:t>]</w:t>
      </w:r>
    </w:p>
    <w:p w14:paraId="4BF8550B" w14:textId="77777777" w:rsidR="00D855EB" w:rsidRDefault="00D855EB" w:rsidP="00AA0F59">
      <w:pPr>
        <w:pStyle w:val="Opstilling-punkttegn"/>
        <w:numPr>
          <w:ilvl w:val="0"/>
          <w:numId w:val="0"/>
        </w:numPr>
      </w:pPr>
    </w:p>
    <w:p w14:paraId="4E63FC16" w14:textId="0274BCF8" w:rsidR="00AA0F59" w:rsidRPr="002D6066" w:rsidRDefault="00AA0F59" w:rsidP="00B56D11">
      <w:pPr>
        <w:pStyle w:val="Overskrift2"/>
        <w:tabs>
          <w:tab w:val="clear" w:pos="454"/>
        </w:tabs>
        <w:ind w:hanging="9"/>
        <w:rPr>
          <w:color w:val="auto"/>
        </w:rPr>
      </w:pPr>
      <w:bookmarkStart w:id="134" w:name="_Toc9083576"/>
      <w:bookmarkStart w:id="135" w:name="_Toc19182999"/>
      <w:bookmarkStart w:id="136" w:name="_Toc19280589"/>
      <w:r w:rsidRPr="002D6066">
        <w:rPr>
          <w:color w:val="auto"/>
        </w:rPr>
        <w:t xml:space="preserve">Fordeling af omkostninger til </w:t>
      </w:r>
      <w:r w:rsidR="00D92497">
        <w:rPr>
          <w:color w:val="auto"/>
        </w:rPr>
        <w:t>del</w:t>
      </w:r>
      <w:r w:rsidRPr="002D6066">
        <w:rPr>
          <w:color w:val="auto"/>
        </w:rPr>
        <w:t>formål under hvert formål efter fælles fordelingsmetoder</w:t>
      </w:r>
      <w:bookmarkEnd w:id="134"/>
      <w:r w:rsidRPr="002D6066" w:rsidDel="003A4BB4">
        <w:rPr>
          <w:color w:val="auto"/>
        </w:rPr>
        <w:t xml:space="preserve"> </w:t>
      </w:r>
      <w:r w:rsidR="008841B6">
        <w:rPr>
          <w:color w:val="auto"/>
        </w:rPr>
        <w:t>(ovennævnte punkt 3)</w:t>
      </w:r>
      <w:bookmarkEnd w:id="135"/>
      <w:bookmarkEnd w:id="136"/>
    </w:p>
    <w:p w14:paraId="6CCAACCF" w14:textId="5D3FFA20" w:rsidR="002D6066" w:rsidRDefault="00D92497" w:rsidP="00AA0F59">
      <w:pPr>
        <w:rPr>
          <w:color w:val="auto"/>
        </w:rPr>
      </w:pPr>
      <w:r>
        <w:rPr>
          <w:color w:val="auto"/>
        </w:rPr>
        <w:t xml:space="preserve">Når </w:t>
      </w:r>
      <w:r w:rsidR="00AA0F59" w:rsidRPr="002D6066">
        <w:rPr>
          <w:color w:val="auto"/>
        </w:rPr>
        <w:t xml:space="preserve">institutionen har </w:t>
      </w:r>
      <w:r>
        <w:rPr>
          <w:color w:val="auto"/>
        </w:rPr>
        <w:t xml:space="preserve">fordelt alle omkostninger på </w:t>
      </w:r>
      <w:r w:rsidR="00AA0F59" w:rsidRPr="002D6066">
        <w:rPr>
          <w:color w:val="auto"/>
        </w:rPr>
        <w:t>de fem formål</w:t>
      </w:r>
      <w:r w:rsidR="00D05EBB">
        <w:rPr>
          <w:color w:val="auto"/>
        </w:rPr>
        <w:t xml:space="preserve"> (1-5)</w:t>
      </w:r>
      <w:r w:rsidR="00AA0F59" w:rsidRPr="002D6066">
        <w:rPr>
          <w:color w:val="auto"/>
        </w:rPr>
        <w:t xml:space="preserve">, skal disse fordeles til underliggende, konkrete </w:t>
      </w:r>
      <w:r>
        <w:rPr>
          <w:color w:val="auto"/>
        </w:rPr>
        <w:t>del</w:t>
      </w:r>
      <w:r w:rsidR="00D05EBB">
        <w:rPr>
          <w:color w:val="auto"/>
        </w:rPr>
        <w:t>formål</w:t>
      </w:r>
      <w:r w:rsidR="00AA0F59" w:rsidRPr="002D6066">
        <w:rPr>
          <w:color w:val="auto"/>
        </w:rPr>
        <w:t xml:space="preserve">. </w:t>
      </w:r>
    </w:p>
    <w:p w14:paraId="365472B7" w14:textId="77777777" w:rsidR="005F79ED" w:rsidRDefault="005F79ED" w:rsidP="00AA0F59">
      <w:pPr>
        <w:rPr>
          <w:color w:val="auto"/>
        </w:rPr>
      </w:pPr>
    </w:p>
    <w:p w14:paraId="3B9BF8BA" w14:textId="6D77D835" w:rsidR="006E18F1" w:rsidRDefault="005F79ED" w:rsidP="005F79ED">
      <w:pPr>
        <w:rPr>
          <w:color w:val="auto"/>
        </w:rPr>
      </w:pPr>
      <w:r w:rsidRPr="005F79ED">
        <w:rPr>
          <w:color w:val="auto"/>
        </w:rPr>
        <w:t>Institutionerne kan efter eget ønske opgøre omkostninger på delformål i regnskabssystemet.</w:t>
      </w:r>
      <w:r w:rsidR="002071CC">
        <w:rPr>
          <w:color w:val="auto"/>
        </w:rPr>
        <w:t xml:space="preserve"> Der vil fortsat skulle bogføres indtægter og omkostninger på formål 6 og 7.</w:t>
      </w:r>
    </w:p>
    <w:p w14:paraId="29AE4C63" w14:textId="77777777" w:rsidR="000C6E52" w:rsidRDefault="000C6E52" w:rsidP="005F79ED">
      <w:pPr>
        <w:rPr>
          <w:color w:val="auto"/>
        </w:rPr>
      </w:pPr>
    </w:p>
    <w:p w14:paraId="5B6A2E23" w14:textId="75C79C36" w:rsidR="006E18F1" w:rsidRDefault="006E18F1" w:rsidP="005F79ED">
      <w:pPr>
        <w:rPr>
          <w:i/>
          <w:color w:val="auto"/>
        </w:rPr>
      </w:pPr>
      <w:r w:rsidRPr="006E18F1">
        <w:rPr>
          <w:i/>
          <w:color w:val="auto"/>
          <w:highlight w:val="lightGray"/>
        </w:rPr>
        <w:t xml:space="preserve">[Styrelsen udarbejder </w:t>
      </w:r>
      <w:r w:rsidR="000C6E52">
        <w:rPr>
          <w:i/>
          <w:color w:val="auto"/>
          <w:highlight w:val="lightGray"/>
        </w:rPr>
        <w:t xml:space="preserve">i samarbejde med institutionerne, en </w:t>
      </w:r>
      <w:r w:rsidRPr="006E18F1">
        <w:rPr>
          <w:i/>
          <w:color w:val="auto"/>
          <w:highlight w:val="lightGray"/>
        </w:rPr>
        <w:t>nummerstruktur for opgørelse af delformål i regnskabssystemet</w:t>
      </w:r>
      <w:r w:rsidR="00E558A8">
        <w:rPr>
          <w:i/>
          <w:color w:val="auto"/>
          <w:highlight w:val="lightGray"/>
        </w:rPr>
        <w:t xml:space="preserve"> for de institutioner</w:t>
      </w:r>
      <w:r w:rsidR="000C6E52">
        <w:rPr>
          <w:i/>
          <w:color w:val="auto"/>
          <w:highlight w:val="lightGray"/>
        </w:rPr>
        <w:t>,</w:t>
      </w:r>
      <w:r w:rsidR="00E558A8">
        <w:rPr>
          <w:i/>
          <w:color w:val="auto"/>
          <w:highlight w:val="lightGray"/>
        </w:rPr>
        <w:t xml:space="preserve"> der ønsker at regnskabsregistrere på delformål</w:t>
      </w:r>
      <w:r w:rsidRPr="006E18F1">
        <w:rPr>
          <w:i/>
          <w:color w:val="auto"/>
          <w:highlight w:val="lightGray"/>
        </w:rPr>
        <w:t>]</w:t>
      </w:r>
    </w:p>
    <w:p w14:paraId="4244C487" w14:textId="2627FD66" w:rsidR="0091220A" w:rsidRDefault="0091220A" w:rsidP="005F79ED">
      <w:pPr>
        <w:rPr>
          <w:i/>
          <w:color w:val="auto"/>
        </w:rPr>
      </w:pPr>
    </w:p>
    <w:p w14:paraId="02A9FF0D" w14:textId="77777777" w:rsidR="002D6066" w:rsidRPr="002D6066" w:rsidRDefault="002D6066" w:rsidP="00AA0F59">
      <w:pPr>
        <w:rPr>
          <w:color w:val="auto"/>
        </w:rPr>
      </w:pPr>
    </w:p>
    <w:p w14:paraId="4EAA3CC2" w14:textId="57765137" w:rsidR="002D6066" w:rsidRDefault="002D6066" w:rsidP="002D6066">
      <w:pPr>
        <w:pStyle w:val="Listeafsnit"/>
        <w:ind w:left="0"/>
        <w:rPr>
          <w:color w:val="auto"/>
        </w:rPr>
      </w:pPr>
      <w:r w:rsidRPr="002D6066">
        <w:rPr>
          <w:color w:val="auto"/>
        </w:rPr>
        <w:t xml:space="preserve">Institutionens omkostninger til uddannelse </w:t>
      </w:r>
      <w:r w:rsidR="00D92497">
        <w:rPr>
          <w:color w:val="auto"/>
        </w:rPr>
        <w:t xml:space="preserve">skal </w:t>
      </w:r>
      <w:r w:rsidR="00D92497" w:rsidRPr="002D6066">
        <w:rPr>
          <w:color w:val="auto"/>
        </w:rPr>
        <w:t xml:space="preserve">årligt </w:t>
      </w:r>
      <w:r w:rsidRPr="002D6066">
        <w:rPr>
          <w:color w:val="auto"/>
        </w:rPr>
        <w:t>fordeles på uddannelse</w:t>
      </w:r>
      <w:r w:rsidR="005F79ED">
        <w:rPr>
          <w:color w:val="auto"/>
        </w:rPr>
        <w:t>r</w:t>
      </w:r>
      <w:r w:rsidRPr="002D6066">
        <w:rPr>
          <w:color w:val="auto"/>
        </w:rPr>
        <w:t>. Uddannelse</w:t>
      </w:r>
      <w:r w:rsidR="005F79ED">
        <w:rPr>
          <w:color w:val="auto"/>
        </w:rPr>
        <w:t>rne</w:t>
      </w:r>
      <w:r w:rsidRPr="002D6066">
        <w:rPr>
          <w:color w:val="auto"/>
        </w:rPr>
        <w:t xml:space="preserve"> baseres på </w:t>
      </w:r>
      <w:r w:rsidR="00B7531F">
        <w:rPr>
          <w:color w:val="auto"/>
        </w:rPr>
        <w:t xml:space="preserve">Uddannelses- og Forskningsministeriets </w:t>
      </w:r>
      <w:r w:rsidRPr="002D6066">
        <w:rPr>
          <w:color w:val="auto"/>
        </w:rPr>
        <w:t>uddannelsesregister, således at der sikres sammenhæng med de øvrige statistiske opgørelser på uddannelsesområdet.</w:t>
      </w:r>
      <w:r w:rsidR="004B27A2">
        <w:rPr>
          <w:color w:val="auto"/>
        </w:rPr>
        <w:t xml:space="preserve"> </w:t>
      </w:r>
    </w:p>
    <w:p w14:paraId="73E9D0AB" w14:textId="77777777" w:rsidR="002D6066" w:rsidRDefault="002D6066" w:rsidP="002D6066">
      <w:pPr>
        <w:pStyle w:val="Listeafsnit"/>
        <w:ind w:left="0"/>
        <w:rPr>
          <w:color w:val="auto"/>
        </w:rPr>
      </w:pPr>
    </w:p>
    <w:p w14:paraId="5131ACA7" w14:textId="6BF7ED1E" w:rsidR="00B7531F" w:rsidRDefault="002D6066" w:rsidP="002B4869">
      <w:pPr>
        <w:pStyle w:val="Listeafsnit"/>
        <w:ind w:left="0"/>
      </w:pPr>
      <w:r w:rsidRPr="00DA4302">
        <w:rPr>
          <w:color w:val="auto"/>
        </w:rPr>
        <w:t xml:space="preserve">Institutionens omkostninger til forskning og udvikling </w:t>
      </w:r>
      <w:r w:rsidR="00D92497">
        <w:rPr>
          <w:color w:val="auto"/>
        </w:rPr>
        <w:t xml:space="preserve">skal </w:t>
      </w:r>
      <w:r w:rsidR="00D92497" w:rsidRPr="00DA4302">
        <w:rPr>
          <w:color w:val="auto"/>
        </w:rPr>
        <w:t xml:space="preserve">årligt </w:t>
      </w:r>
      <w:r w:rsidRPr="00DA4302">
        <w:rPr>
          <w:color w:val="auto"/>
        </w:rPr>
        <w:t>fordeles på baggrund af en fagklassifikation. Hertil skal opgørelse på fagområder ske på baggru</w:t>
      </w:r>
      <w:r>
        <w:rPr>
          <w:color w:val="auto"/>
        </w:rPr>
        <w:t xml:space="preserve">nd af </w:t>
      </w:r>
      <w:proofErr w:type="spellStart"/>
      <w:r>
        <w:rPr>
          <w:color w:val="auto"/>
        </w:rPr>
        <w:t>DST’s</w:t>
      </w:r>
      <w:proofErr w:type="spellEnd"/>
      <w:r>
        <w:rPr>
          <w:color w:val="auto"/>
        </w:rPr>
        <w:t xml:space="preserve"> klassifikation på 57</w:t>
      </w:r>
      <w:r w:rsidRPr="00DA4302">
        <w:rPr>
          <w:color w:val="auto"/>
        </w:rPr>
        <w:t xml:space="preserve"> fag. </w:t>
      </w:r>
    </w:p>
    <w:p w14:paraId="79B96C2A" w14:textId="77777777" w:rsidR="00D92497" w:rsidRDefault="00D92497" w:rsidP="00B7531F">
      <w:pPr>
        <w:pStyle w:val="Opstilling-punkttegn"/>
        <w:numPr>
          <w:ilvl w:val="0"/>
          <w:numId w:val="0"/>
        </w:numPr>
        <w:rPr>
          <w:color w:val="auto"/>
        </w:rPr>
      </w:pPr>
    </w:p>
    <w:p w14:paraId="6DB760D7" w14:textId="05E10C65" w:rsidR="00B7531F" w:rsidRDefault="00B7531F" w:rsidP="00B7531F">
      <w:pPr>
        <w:pStyle w:val="Opstilling-punkttegn"/>
        <w:numPr>
          <w:ilvl w:val="0"/>
          <w:numId w:val="0"/>
        </w:numPr>
      </w:pPr>
      <w:r w:rsidRPr="008D62C2">
        <w:rPr>
          <w:color w:val="auto"/>
        </w:rPr>
        <w:t xml:space="preserve">Nedenstående tekstboks </w:t>
      </w:r>
      <w:r>
        <w:rPr>
          <w:color w:val="auto"/>
        </w:rPr>
        <w:t>angiver de generelle fordelingsmetoder</w:t>
      </w:r>
      <w:r w:rsidRPr="008D62C2">
        <w:rPr>
          <w:color w:val="auto"/>
        </w:rPr>
        <w:t>.</w:t>
      </w:r>
    </w:p>
    <w:bookmarkEnd w:id="12"/>
    <w:p w14:paraId="2CE351E8" w14:textId="3D35D4F0" w:rsidR="00AF30CF" w:rsidRDefault="00AB1F51" w:rsidP="00725EBF">
      <w:pPr>
        <w:rPr>
          <w:color w:val="auto"/>
          <w:sz w:val="24"/>
          <w:szCs w:val="24"/>
        </w:rPr>
      </w:pPr>
      <w:r w:rsidRPr="00AB1F51">
        <w:rPr>
          <w:rFonts w:ascii="Arial" w:eastAsia="Arial" w:hAnsi="Arial" w:cs="Times New Roman"/>
          <w:bCs/>
          <w:noProof/>
          <w:color w:val="auto"/>
          <w:sz w:val="20"/>
          <w:szCs w:val="20"/>
          <w:lang w:eastAsia="da-DK"/>
        </w:rPr>
        <w:lastRenderedPageBreak/>
        <mc:AlternateContent>
          <mc:Choice Requires="wps">
            <w:drawing>
              <wp:inline distT="0" distB="0" distL="0" distR="0" wp14:anchorId="0076384F" wp14:editId="54EA91CE">
                <wp:extent cx="5701145" cy="7779327"/>
                <wp:effectExtent l="0" t="0" r="13970" b="12700"/>
                <wp:docPr id="7" name="Rektangel 7"/>
                <wp:cNvGraphicFramePr/>
                <a:graphic xmlns:a="http://schemas.openxmlformats.org/drawingml/2006/main">
                  <a:graphicData uri="http://schemas.microsoft.com/office/word/2010/wordprocessingShape">
                    <wps:wsp>
                      <wps:cNvSpPr/>
                      <wps:spPr>
                        <a:xfrm>
                          <a:off x="0" y="0"/>
                          <a:ext cx="5701145" cy="7779327"/>
                        </a:xfrm>
                        <a:prstGeom prst="rect">
                          <a:avLst/>
                        </a:prstGeom>
                        <a:solidFill>
                          <a:srgbClr val="19528F">
                            <a:lumMod val="60000"/>
                            <a:lumOff val="40000"/>
                          </a:srgbClr>
                        </a:solidFill>
                        <a:ln w="3175" cap="flat" cmpd="sng" algn="ctr">
                          <a:solidFill>
                            <a:srgbClr val="BF1C80">
                              <a:shade val="50000"/>
                            </a:srgbClr>
                          </a:solidFill>
                          <a:prstDash val="solid"/>
                        </a:ln>
                        <a:effectLst/>
                      </wps:spPr>
                      <wps:txbx>
                        <w:txbxContent>
                          <w:p w14:paraId="7B0373ED" w14:textId="2BF59AF8" w:rsidR="00B00638" w:rsidRPr="00725EBF" w:rsidRDefault="00B00638" w:rsidP="00AB1F51">
                            <w:pPr>
                              <w:rPr>
                                <w:b/>
                                <w:i/>
                                <w:color w:val="FFFFFF" w:themeColor="background1"/>
                                <w:sz w:val="18"/>
                              </w:rPr>
                            </w:pPr>
                            <w:r w:rsidRPr="00725EBF">
                              <w:rPr>
                                <w:b/>
                                <w:i/>
                                <w:color w:val="FFFFFF" w:themeColor="background1"/>
                                <w:sz w:val="18"/>
                              </w:rPr>
                              <w:t xml:space="preserve">Boks 3. Metode til fordeling af driftsposteringer i trin 3 fra formål til </w:t>
                            </w:r>
                            <w:r>
                              <w:rPr>
                                <w:b/>
                                <w:i/>
                                <w:color w:val="FFFFFF" w:themeColor="background1"/>
                                <w:sz w:val="18"/>
                              </w:rPr>
                              <w:t>del</w:t>
                            </w:r>
                            <w:r w:rsidRPr="00725EBF">
                              <w:rPr>
                                <w:b/>
                                <w:i/>
                                <w:color w:val="FFFFFF" w:themeColor="background1"/>
                                <w:sz w:val="18"/>
                              </w:rPr>
                              <w:t xml:space="preserve">formål </w:t>
                            </w:r>
                          </w:p>
                          <w:p w14:paraId="4E83441B" w14:textId="14D43F00" w:rsidR="00B00638" w:rsidRPr="00725EBF" w:rsidRDefault="00B00638" w:rsidP="00AB1F51">
                            <w:pPr>
                              <w:rPr>
                                <w:b/>
                                <w:color w:val="FFFFFF" w:themeColor="background1"/>
                                <w:sz w:val="18"/>
                              </w:rPr>
                            </w:pPr>
                            <w:r w:rsidRPr="00725EBF">
                              <w:rPr>
                                <w:color w:val="FFFFFF" w:themeColor="background1"/>
                                <w:sz w:val="18"/>
                              </w:rPr>
                              <w:t xml:space="preserve">Baggrund for fordelinger: Lønsum og bestand ift. bygningsomkostninger og generelle fællesomkostninger følger argumenter fra </w:t>
                            </w:r>
                            <w:r>
                              <w:rPr>
                                <w:color w:val="FFFFFF" w:themeColor="background1"/>
                                <w:sz w:val="18"/>
                              </w:rPr>
                              <w:t xml:space="preserve">boks </w:t>
                            </w:r>
                            <w:r w:rsidRPr="00725EBF">
                              <w:rPr>
                                <w:color w:val="FFFFFF" w:themeColor="background1"/>
                                <w:sz w:val="18"/>
                              </w:rPr>
                              <w:t>2. Steddimensionen bruges til at identificere lavest mulige produktions</w:t>
                            </w:r>
                            <w:r>
                              <w:rPr>
                                <w:color w:val="FFFFFF" w:themeColor="background1"/>
                                <w:sz w:val="18"/>
                              </w:rPr>
                              <w:t>sted.</w:t>
                            </w:r>
                          </w:p>
                          <w:p w14:paraId="1CD8A723" w14:textId="77777777" w:rsidR="00B00638" w:rsidRPr="00725EBF" w:rsidRDefault="00B00638" w:rsidP="00AB1F51">
                            <w:pPr>
                              <w:rPr>
                                <w:b/>
                                <w:color w:val="FFFFFF" w:themeColor="background1"/>
                                <w:sz w:val="18"/>
                              </w:rPr>
                            </w:pPr>
                          </w:p>
                          <w:p w14:paraId="54AF144F" w14:textId="22FA2353"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1</w:t>
                            </w:r>
                            <w:r w:rsidRPr="00725EBF">
                              <w:rPr>
                                <w:b/>
                                <w:color w:val="FFFFFF" w:themeColor="background1"/>
                                <w:sz w:val="18"/>
                              </w:rPr>
                              <w:t>: ”Uddannelse” til enkeltuddannelse:</w:t>
                            </w:r>
                          </w:p>
                          <w:p w14:paraId="5BAB028C"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4A8DAB9F"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37FDC8C8" w14:textId="77777777" w:rsidR="00B00638" w:rsidRPr="00725EBF" w:rsidRDefault="00B00638" w:rsidP="002B4869">
                            <w:pPr>
                              <w:rPr>
                                <w:color w:val="FFFFFF"/>
                                <w:sz w:val="18"/>
                              </w:rPr>
                            </w:pPr>
                            <w:r w:rsidRPr="00725EBF">
                              <w:rPr>
                                <w:color w:val="FFFFFF"/>
                                <w:sz w:val="18"/>
                              </w:rPr>
                              <w:t xml:space="preserve">- De totale omkostninger pr. produktionssted fordeles på </w:t>
                            </w:r>
                            <w:r>
                              <w:rPr>
                                <w:color w:val="FFFFFF"/>
                                <w:sz w:val="18"/>
                              </w:rPr>
                              <w:t>t</w:t>
                            </w:r>
                            <w:r w:rsidRPr="00725EBF">
                              <w:rPr>
                                <w:color w:val="FFFFFF"/>
                                <w:sz w:val="18"/>
                              </w:rPr>
                              <w:t>ilmeldte studerende efter ECTS-vægt</w:t>
                            </w:r>
                            <w:r>
                              <w:rPr>
                                <w:color w:val="FFFFFF"/>
                                <w:sz w:val="18"/>
                              </w:rPr>
                              <w:t xml:space="preserve"> i de enkelte uddannelseselementer.</w:t>
                            </w:r>
                          </w:p>
                          <w:p w14:paraId="1E0C6837" w14:textId="77777777" w:rsidR="00B00638" w:rsidRPr="00725EBF" w:rsidRDefault="00B00638" w:rsidP="002B4869">
                            <w:pPr>
                              <w:rPr>
                                <w:b/>
                                <w:i/>
                                <w:color w:val="FFFFFF" w:themeColor="background1"/>
                                <w:sz w:val="18"/>
                              </w:rPr>
                            </w:pPr>
                            <w:r w:rsidRPr="00725EBF">
                              <w:rPr>
                                <w:color w:val="FFFFFF" w:themeColor="background1"/>
                                <w:sz w:val="18"/>
                              </w:rPr>
                              <w:t>- omkostningerne henføres til uddannelse</w:t>
                            </w:r>
                            <w:r>
                              <w:rPr>
                                <w:color w:val="FFFFFF" w:themeColor="background1"/>
                                <w:sz w:val="18"/>
                              </w:rPr>
                              <w:t>sudbud</w:t>
                            </w:r>
                            <w:r w:rsidRPr="00725EBF">
                              <w:rPr>
                                <w:color w:val="FFFFFF" w:themeColor="background1"/>
                                <w:sz w:val="18"/>
                              </w:rPr>
                              <w:t xml:space="preserve"> i uddannelseskataloget via den studerendes uddannelsestilknytning i henhold til produktionssystemet (f.eks. SIS/STADS)</w:t>
                            </w:r>
                          </w:p>
                          <w:p w14:paraId="5971F624" w14:textId="77777777" w:rsidR="00B00638" w:rsidRDefault="00B00638" w:rsidP="00AB1F51">
                            <w:pPr>
                              <w:rPr>
                                <w:b/>
                                <w:color w:val="FFFFFF" w:themeColor="background1"/>
                                <w:sz w:val="18"/>
                              </w:rPr>
                            </w:pPr>
                          </w:p>
                          <w:p w14:paraId="4DEEC6C6" w14:textId="7129F1A1"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2</w:t>
                            </w:r>
                            <w:r w:rsidRPr="00725EBF">
                              <w:rPr>
                                <w:b/>
                                <w:color w:val="FFFFFF" w:themeColor="background1"/>
                                <w:sz w:val="18"/>
                              </w:rPr>
                              <w:t>: ”Forskning” til fagområder</w:t>
                            </w:r>
                          </w:p>
                          <w:p w14:paraId="5C4C7CAF"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7D582ED8"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3B0A1C8A" w14:textId="77777777" w:rsidR="00B00638" w:rsidRPr="00725EBF" w:rsidRDefault="00B00638" w:rsidP="002B4869">
                            <w:pPr>
                              <w:rPr>
                                <w:i/>
                                <w:color w:val="FFFFFF" w:themeColor="background1"/>
                                <w:sz w:val="18"/>
                              </w:rPr>
                            </w:pPr>
                            <w:r w:rsidRPr="00725EBF">
                              <w:rPr>
                                <w:i/>
                                <w:color w:val="FFFFFF" w:themeColor="background1"/>
                                <w:sz w:val="18"/>
                              </w:rPr>
                              <w:t>I tilfælde af projektanvendelse:</w:t>
                            </w:r>
                          </w:p>
                          <w:p w14:paraId="0DF5AE95" w14:textId="77777777" w:rsidR="00B00638" w:rsidRPr="00725EBF" w:rsidRDefault="00B00638" w:rsidP="002B4869">
                            <w:pPr>
                              <w:rPr>
                                <w:color w:val="FFFFFF" w:themeColor="background1"/>
                                <w:sz w:val="18"/>
                              </w:rPr>
                            </w:pPr>
                            <w:r w:rsidRPr="00725EBF">
                              <w:rPr>
                                <w:color w:val="FFFFFF" w:themeColor="background1"/>
                                <w:sz w:val="18"/>
                              </w:rPr>
                              <w:t>- Bestanddelen af direkte omkostninger til tilskudsfinansieret forskningsaktivitet på produktionsstedet registreres direkte på de enkelte projekter.</w:t>
                            </w:r>
                          </w:p>
                          <w:p w14:paraId="25373271" w14:textId="77777777" w:rsidR="00B00638" w:rsidRPr="00725EBF" w:rsidRDefault="00B00638" w:rsidP="002B4869">
                            <w:pPr>
                              <w:rPr>
                                <w:color w:val="FFFFFF" w:themeColor="background1"/>
                                <w:sz w:val="18"/>
                              </w:rPr>
                            </w:pPr>
                            <w:r w:rsidRPr="00FA2E92">
                              <w:rPr>
                                <w:color w:val="FFFFFF" w:themeColor="background1"/>
                                <w:sz w:val="18"/>
                              </w:rPr>
                              <w:t>- Bestanddelen af direkte</w:t>
                            </w:r>
                            <w:r w:rsidRPr="00FA2E92">
                              <w:rPr>
                                <w:color w:val="FFFFFF" w:themeColor="background1"/>
                              </w:rPr>
                              <w:t xml:space="preserve"> </w:t>
                            </w:r>
                            <w:r w:rsidRPr="00FA2E92">
                              <w:rPr>
                                <w:color w:val="FFFFFF" w:themeColor="background1"/>
                                <w:sz w:val="18"/>
                              </w:rPr>
                              <w:t>og indirekte driftsomkostninger til forskningsaktivitet under almindelig virksomhed på produktionsstedet registreres direkte på de enkelte projekter.</w:t>
                            </w:r>
                          </w:p>
                          <w:p w14:paraId="5196E840" w14:textId="77777777" w:rsidR="00B00638" w:rsidRPr="00725EBF" w:rsidRDefault="00B00638" w:rsidP="002B4869">
                            <w:pPr>
                              <w:rPr>
                                <w:color w:val="FFFFFF" w:themeColor="background1"/>
                                <w:sz w:val="18"/>
                              </w:rPr>
                            </w:pPr>
                            <w:r w:rsidRPr="00725EBF">
                              <w:rPr>
                                <w:color w:val="FFFFFF" w:themeColor="background1"/>
                                <w:sz w:val="18"/>
                              </w:rPr>
                              <w:t>- Projekterne oprettes med et/flere fagområder</w:t>
                            </w:r>
                          </w:p>
                          <w:p w14:paraId="2558B8DE" w14:textId="77777777" w:rsidR="00B00638" w:rsidRPr="00725EBF" w:rsidRDefault="00B00638" w:rsidP="002B4869">
                            <w:pPr>
                              <w:rPr>
                                <w:i/>
                                <w:color w:val="FFFFFF" w:themeColor="background1"/>
                                <w:sz w:val="18"/>
                              </w:rPr>
                            </w:pPr>
                            <w:r w:rsidRPr="00725EBF">
                              <w:rPr>
                                <w:i/>
                                <w:color w:val="FFFFFF" w:themeColor="background1"/>
                                <w:sz w:val="18"/>
                              </w:rPr>
                              <w:t>Uden projektanvendelse:</w:t>
                            </w:r>
                          </w:p>
                          <w:p w14:paraId="57B8D96A" w14:textId="77777777" w:rsidR="00B00638" w:rsidRPr="00725EBF" w:rsidRDefault="00B00638" w:rsidP="002B4869">
                            <w:pPr>
                              <w:rPr>
                                <w:color w:val="FFFFFF" w:themeColor="background1"/>
                              </w:rPr>
                            </w:pPr>
                            <w:r w:rsidRPr="00725EBF">
                              <w:rPr>
                                <w:color w:val="FFFFFF" w:themeColor="background1"/>
                              </w:rPr>
                              <w:t xml:space="preserve">- </w:t>
                            </w:r>
                            <w:r w:rsidRPr="00725EBF">
                              <w:rPr>
                                <w:color w:val="FFFFFF" w:themeColor="background1"/>
                                <w:sz w:val="18"/>
                              </w:rPr>
                              <w:t>Institutledere el. lign. fordeler og godkender forskningsaktivitet på fagområder ud fra vurdering</w:t>
                            </w:r>
                          </w:p>
                          <w:p w14:paraId="69799D42" w14:textId="77777777" w:rsidR="00B00638" w:rsidRPr="00725EBF" w:rsidRDefault="00B00638" w:rsidP="002B4869">
                            <w:pPr>
                              <w:rPr>
                                <w:b/>
                                <w:color w:val="FFFFFF" w:themeColor="background1"/>
                                <w:sz w:val="18"/>
                              </w:rPr>
                            </w:pPr>
                            <w:r w:rsidRPr="00725EBF">
                              <w:rPr>
                                <w:color w:val="FFFFFF" w:themeColor="background1"/>
                                <w:sz w:val="18"/>
                              </w:rPr>
                              <w:t>Baggrund for fordeling: I forbindelse med oprettelse af projekter kan der fra hensigtsmæssig kilde angives mest præcise fagområder (en forsker er formentlig bedste kilde frem for regnskabsmedarbejder)</w:t>
                            </w:r>
                          </w:p>
                          <w:p w14:paraId="32A80269" w14:textId="77777777" w:rsidR="00B00638" w:rsidRDefault="00B00638" w:rsidP="00AB1F51">
                            <w:pPr>
                              <w:rPr>
                                <w:b/>
                                <w:color w:val="FFFFFF" w:themeColor="background1"/>
                                <w:sz w:val="18"/>
                              </w:rPr>
                            </w:pPr>
                          </w:p>
                          <w:p w14:paraId="3E90AFB3" w14:textId="71279C74" w:rsidR="00B00638" w:rsidRPr="00725EBF" w:rsidRDefault="00B00638" w:rsidP="00AB1F51">
                            <w:pPr>
                              <w:rPr>
                                <w:b/>
                                <w:color w:val="FFFFFF" w:themeColor="background1"/>
                                <w:sz w:val="18"/>
                              </w:rPr>
                            </w:pPr>
                            <w:r w:rsidRPr="00725EBF">
                              <w:rPr>
                                <w:b/>
                                <w:color w:val="FFFFFF" w:themeColor="background1"/>
                                <w:sz w:val="18"/>
                              </w:rPr>
                              <w:t>3.</w:t>
                            </w:r>
                            <w:r>
                              <w:rPr>
                                <w:b/>
                                <w:color w:val="FFFFFF" w:themeColor="background1"/>
                                <w:sz w:val="18"/>
                              </w:rPr>
                              <w:t>3</w:t>
                            </w:r>
                            <w:r w:rsidRPr="00725EBF">
                              <w:rPr>
                                <w:b/>
                                <w:color w:val="FFFFFF" w:themeColor="background1"/>
                                <w:sz w:val="18"/>
                              </w:rPr>
                              <w:t>: ”Formidling” til de enkelte formidlingsaktiviteter</w:t>
                            </w:r>
                          </w:p>
                          <w:p w14:paraId="4FB13287" w14:textId="77777777" w:rsidR="00B00638" w:rsidRPr="00725EBF" w:rsidRDefault="00B00638" w:rsidP="00AB1F51">
                            <w:pPr>
                              <w:rPr>
                                <w:color w:val="FFFFFF" w:themeColor="background1"/>
                                <w:sz w:val="18"/>
                              </w:rPr>
                            </w:pPr>
                            <w:r w:rsidRPr="00725EBF">
                              <w:rPr>
                                <w:color w:val="FFFFFF" w:themeColor="background1"/>
                                <w:sz w:val="18"/>
                              </w:rPr>
                              <w:t xml:space="preserve">- Fordeling af direkte og indirekte formidlingsomkostninger på </w:t>
                            </w:r>
                            <w:r>
                              <w:rPr>
                                <w:color w:val="FFFFFF" w:themeColor="background1"/>
                                <w:sz w:val="18"/>
                              </w:rPr>
                              <w:t>del</w:t>
                            </w:r>
                            <w:r w:rsidRPr="00725EBF">
                              <w:rPr>
                                <w:color w:val="FFFFFF" w:themeColor="background1"/>
                                <w:sz w:val="18"/>
                              </w:rPr>
                              <w:t>formål følger steddimensionen</w:t>
                            </w:r>
                          </w:p>
                          <w:p w14:paraId="5BEC5057" w14:textId="77777777" w:rsidR="00B00638" w:rsidRPr="00725EBF" w:rsidRDefault="00B00638" w:rsidP="00AB1F51">
                            <w:pPr>
                              <w:rPr>
                                <w:color w:val="FFFFFF" w:themeColor="background1"/>
                                <w:sz w:val="18"/>
                              </w:rPr>
                            </w:pPr>
                            <w:r w:rsidRPr="00725EBF">
                              <w:rPr>
                                <w:color w:val="FFFFFF" w:themeColor="background1"/>
                                <w:sz w:val="18"/>
                              </w:rPr>
                              <w:t xml:space="preserve">- bestanddelen af generelle fællesomkostninger følger </w:t>
                            </w:r>
                            <w:r>
                              <w:rPr>
                                <w:color w:val="FFFFFF" w:themeColor="background1"/>
                                <w:sz w:val="18"/>
                              </w:rPr>
                              <w:t>metoden i boks 2</w:t>
                            </w:r>
                            <w:r w:rsidRPr="00725EBF">
                              <w:rPr>
                                <w:color w:val="FFFFFF" w:themeColor="background1"/>
                                <w:sz w:val="18"/>
                              </w:rPr>
                              <w:t xml:space="preserve"> til laveste produktionssted</w:t>
                            </w:r>
                          </w:p>
                          <w:p w14:paraId="13D2F7A5" w14:textId="77777777" w:rsidR="00B00638" w:rsidRPr="00725EBF" w:rsidRDefault="00B00638" w:rsidP="00AB1F51">
                            <w:pPr>
                              <w:rPr>
                                <w:color w:val="FFFFFF" w:themeColor="background1"/>
                                <w:sz w:val="18"/>
                              </w:rPr>
                            </w:pPr>
                            <w:r w:rsidRPr="00725EBF">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1F7326D9" w14:textId="77777777" w:rsidR="00B00638" w:rsidRPr="00725EBF" w:rsidRDefault="00B00638" w:rsidP="00AB1F51">
                            <w:pPr>
                              <w:rPr>
                                <w:color w:val="FFFFFF" w:themeColor="background1"/>
                                <w:sz w:val="18"/>
                              </w:rPr>
                            </w:pPr>
                          </w:p>
                          <w:p w14:paraId="0B03F104" w14:textId="17AA0ECC"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4</w:t>
                            </w:r>
                            <w:r w:rsidRPr="00725EBF">
                              <w:rPr>
                                <w:b/>
                                <w:color w:val="FFFFFF" w:themeColor="background1"/>
                                <w:sz w:val="18"/>
                              </w:rPr>
                              <w:t>: ”Myndighedsbetjening” til enkeltmyndigheder</w:t>
                            </w:r>
                          </w:p>
                          <w:p w14:paraId="3141E120" w14:textId="36EFDABB" w:rsidR="00B00638" w:rsidRPr="00725EBF" w:rsidRDefault="00B00638" w:rsidP="002B4869">
                            <w:pPr>
                              <w:rPr>
                                <w:color w:val="FFFFFF" w:themeColor="background1"/>
                                <w:sz w:val="18"/>
                              </w:rPr>
                            </w:pPr>
                            <w:r w:rsidRPr="00725EBF">
                              <w:rPr>
                                <w:color w:val="FFFFFF" w:themeColor="background1"/>
                                <w:sz w:val="18"/>
                              </w:rPr>
                              <w:t xml:space="preserve">- Fordeling af direkte og indirekte myndighedsbetjeningsomkostninger på </w:t>
                            </w:r>
                            <w:r>
                              <w:rPr>
                                <w:color w:val="FFFFFF" w:themeColor="background1"/>
                                <w:sz w:val="18"/>
                              </w:rPr>
                              <w:t>del</w:t>
                            </w:r>
                            <w:r w:rsidRPr="00725EBF">
                              <w:rPr>
                                <w:color w:val="FFFFFF" w:themeColor="background1"/>
                                <w:sz w:val="18"/>
                              </w:rPr>
                              <w:t>formål følger projektopgørelse pr. myndighed.</w:t>
                            </w:r>
                          </w:p>
                          <w:p w14:paraId="476644B8"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3967143F"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729808B8" w14:textId="77777777" w:rsidR="00B00638" w:rsidRDefault="00B00638" w:rsidP="00AB1F51">
                            <w:pPr>
                              <w:rPr>
                                <w:b/>
                                <w:color w:val="FFFFFF" w:themeColor="background1"/>
                                <w:sz w:val="18"/>
                              </w:rPr>
                            </w:pPr>
                          </w:p>
                          <w:p w14:paraId="1FA60543" w14:textId="720656F0" w:rsidR="00B00638" w:rsidRPr="00725EBF" w:rsidRDefault="00B00638" w:rsidP="00AB1F51">
                            <w:pPr>
                              <w:rPr>
                                <w:b/>
                                <w:color w:val="FFFFFF" w:themeColor="background1"/>
                                <w:sz w:val="18"/>
                              </w:rPr>
                            </w:pPr>
                            <w:r w:rsidRPr="00725EBF">
                              <w:rPr>
                                <w:b/>
                                <w:color w:val="FFFFFF" w:themeColor="background1"/>
                                <w:sz w:val="18"/>
                              </w:rPr>
                              <w:t>3.</w:t>
                            </w:r>
                            <w:r>
                              <w:rPr>
                                <w:b/>
                                <w:color w:val="FFFFFF" w:themeColor="background1"/>
                                <w:sz w:val="18"/>
                              </w:rPr>
                              <w:t>5</w:t>
                            </w:r>
                            <w:r w:rsidRPr="00725EBF">
                              <w:rPr>
                                <w:b/>
                                <w:color w:val="FFFFFF" w:themeColor="background1"/>
                                <w:sz w:val="18"/>
                              </w:rPr>
                              <w:t>: ”Kostafdelinger” til de enkelte kostafdelinger</w:t>
                            </w:r>
                          </w:p>
                          <w:p w14:paraId="3F24982F" w14:textId="77777777" w:rsidR="00B00638" w:rsidRPr="00725EBF" w:rsidRDefault="00B00638" w:rsidP="00AB1F51">
                            <w:pPr>
                              <w:rPr>
                                <w:color w:val="FFFFFF" w:themeColor="background1"/>
                                <w:sz w:val="18"/>
                              </w:rPr>
                            </w:pPr>
                            <w:r w:rsidRPr="00725EBF">
                              <w:rPr>
                                <w:color w:val="FFFFFF" w:themeColor="background1"/>
                                <w:sz w:val="18"/>
                              </w:rPr>
                              <w:t xml:space="preserve">- Fordeling af direkte og indirekte kostafdelingsomkostninger på </w:t>
                            </w:r>
                            <w:r>
                              <w:rPr>
                                <w:color w:val="FFFFFF" w:themeColor="background1"/>
                                <w:sz w:val="18"/>
                              </w:rPr>
                              <w:t>del</w:t>
                            </w:r>
                            <w:r w:rsidRPr="00725EBF">
                              <w:rPr>
                                <w:color w:val="FFFFFF" w:themeColor="background1"/>
                                <w:sz w:val="18"/>
                              </w:rPr>
                              <w:t>formål følger steddimensionen</w:t>
                            </w:r>
                          </w:p>
                          <w:p w14:paraId="79EF096E" w14:textId="7842232E" w:rsidR="00B00638" w:rsidRPr="00D47B59" w:rsidRDefault="00B00638" w:rsidP="00B7531F">
                            <w:pPr>
                              <w:rPr>
                                <w:color w:val="FFFFFF" w:themeColor="background1"/>
                                <w:sz w:val="18"/>
                              </w:rPr>
                            </w:pPr>
                            <w:r w:rsidRPr="00725EBF">
                              <w:rPr>
                                <w:color w:val="FFFFFF" w:themeColor="background1"/>
                                <w:sz w:val="18"/>
                              </w:rPr>
                              <w:t xml:space="preserve">- </w:t>
                            </w:r>
                            <w:r w:rsidRPr="00D47B59">
                              <w:rPr>
                                <w:color w:val="FFFFFF" w:themeColor="background1"/>
                                <w:sz w:val="18"/>
                              </w:rPr>
                              <w:t xml:space="preserve">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56A1124C" w14:textId="0ADF9A94" w:rsidR="00B00638" w:rsidRPr="00725EBF" w:rsidRDefault="00B00638" w:rsidP="00AB1F51">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07B6EB90" w14:textId="77777777" w:rsidR="00B00638" w:rsidRPr="00725EBF" w:rsidRDefault="00B00638" w:rsidP="00AB1F51">
                            <w:pPr>
                              <w:rPr>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076384F" id="Rektangel 7" o:spid="_x0000_s1028" style="width:448.9pt;height:6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" fillcolor="#5096e0" strokecolor="#8c115c" strokeweight=".25pt">
                <v:textbox>
                  <w:txbxContent>
                    <w:p w14:paraId="7B0373ED" w14:textId="2BF59AF8" w:rsidR="00B00638" w:rsidRPr="00725EBF" w:rsidRDefault="00B00638" w:rsidP="00AB1F51">
                      <w:pPr>
                        <w:rPr>
                          <w:b/>
                          <w:i/>
                          <w:color w:val="FFFFFF" w:themeColor="background1"/>
                          <w:sz w:val="18"/>
                        </w:rPr>
                      </w:pPr>
                      <w:r w:rsidRPr="00725EBF">
                        <w:rPr>
                          <w:b/>
                          <w:i/>
                          <w:color w:val="FFFFFF" w:themeColor="background1"/>
                          <w:sz w:val="18"/>
                        </w:rPr>
                        <w:t xml:space="preserve">Boks 3. Metode til fordeling af driftsposteringer i trin 3 fra formål til </w:t>
                      </w:r>
                      <w:r>
                        <w:rPr>
                          <w:b/>
                          <w:i/>
                          <w:color w:val="FFFFFF" w:themeColor="background1"/>
                          <w:sz w:val="18"/>
                        </w:rPr>
                        <w:t>del</w:t>
                      </w:r>
                      <w:r w:rsidRPr="00725EBF">
                        <w:rPr>
                          <w:b/>
                          <w:i/>
                          <w:color w:val="FFFFFF" w:themeColor="background1"/>
                          <w:sz w:val="18"/>
                        </w:rPr>
                        <w:t xml:space="preserve">formål </w:t>
                      </w:r>
                    </w:p>
                    <w:p w14:paraId="4E83441B" w14:textId="14D43F00" w:rsidR="00B00638" w:rsidRPr="00725EBF" w:rsidRDefault="00B00638" w:rsidP="00AB1F51">
                      <w:pPr>
                        <w:rPr>
                          <w:b/>
                          <w:color w:val="FFFFFF" w:themeColor="background1"/>
                          <w:sz w:val="18"/>
                        </w:rPr>
                      </w:pPr>
                      <w:r w:rsidRPr="00725EBF">
                        <w:rPr>
                          <w:color w:val="FFFFFF" w:themeColor="background1"/>
                          <w:sz w:val="18"/>
                        </w:rPr>
                        <w:t xml:space="preserve">Baggrund for fordelinger: Lønsum og bestand ift. bygningsomkostninger og generelle fællesomkostninger følger argumenter fra </w:t>
                      </w:r>
                      <w:r>
                        <w:rPr>
                          <w:color w:val="FFFFFF" w:themeColor="background1"/>
                          <w:sz w:val="18"/>
                        </w:rPr>
                        <w:t xml:space="preserve">boks </w:t>
                      </w:r>
                      <w:r w:rsidRPr="00725EBF">
                        <w:rPr>
                          <w:color w:val="FFFFFF" w:themeColor="background1"/>
                          <w:sz w:val="18"/>
                        </w:rPr>
                        <w:t>2. Steddimensionen bruges til at identificere lavest mulige produktions</w:t>
                      </w:r>
                      <w:r>
                        <w:rPr>
                          <w:color w:val="FFFFFF" w:themeColor="background1"/>
                          <w:sz w:val="18"/>
                        </w:rPr>
                        <w:t>sted.</w:t>
                      </w:r>
                    </w:p>
                    <w:p w14:paraId="1CD8A723" w14:textId="77777777" w:rsidR="00B00638" w:rsidRPr="00725EBF" w:rsidRDefault="00B00638" w:rsidP="00AB1F51">
                      <w:pPr>
                        <w:rPr>
                          <w:b/>
                          <w:color w:val="FFFFFF" w:themeColor="background1"/>
                          <w:sz w:val="18"/>
                        </w:rPr>
                      </w:pPr>
                    </w:p>
                    <w:p w14:paraId="54AF144F" w14:textId="22FA2353"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1</w:t>
                      </w:r>
                      <w:r w:rsidRPr="00725EBF">
                        <w:rPr>
                          <w:b/>
                          <w:color w:val="FFFFFF" w:themeColor="background1"/>
                          <w:sz w:val="18"/>
                        </w:rPr>
                        <w:t>: ”Uddannelse” til enkeltuddannelse:</w:t>
                      </w:r>
                    </w:p>
                    <w:p w14:paraId="5BAB028C"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4A8DAB9F"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37FDC8C8" w14:textId="77777777" w:rsidR="00B00638" w:rsidRPr="00725EBF" w:rsidRDefault="00B00638" w:rsidP="002B4869">
                      <w:pPr>
                        <w:rPr>
                          <w:color w:val="FFFFFF"/>
                          <w:sz w:val="18"/>
                        </w:rPr>
                      </w:pPr>
                      <w:r w:rsidRPr="00725EBF">
                        <w:rPr>
                          <w:color w:val="FFFFFF"/>
                          <w:sz w:val="18"/>
                        </w:rPr>
                        <w:t xml:space="preserve">- De totale omkostninger pr. produktionssted fordeles på </w:t>
                      </w:r>
                      <w:r>
                        <w:rPr>
                          <w:color w:val="FFFFFF"/>
                          <w:sz w:val="18"/>
                        </w:rPr>
                        <w:t>t</w:t>
                      </w:r>
                      <w:r w:rsidRPr="00725EBF">
                        <w:rPr>
                          <w:color w:val="FFFFFF"/>
                          <w:sz w:val="18"/>
                        </w:rPr>
                        <w:t>ilmeldte studerende efter ECTS-vægt</w:t>
                      </w:r>
                      <w:r>
                        <w:rPr>
                          <w:color w:val="FFFFFF"/>
                          <w:sz w:val="18"/>
                        </w:rPr>
                        <w:t xml:space="preserve"> i de enkelte uddannelseselementer.</w:t>
                      </w:r>
                    </w:p>
                    <w:p w14:paraId="1E0C6837" w14:textId="77777777" w:rsidR="00B00638" w:rsidRPr="00725EBF" w:rsidRDefault="00B00638" w:rsidP="002B4869">
                      <w:pPr>
                        <w:rPr>
                          <w:b/>
                          <w:i/>
                          <w:color w:val="FFFFFF" w:themeColor="background1"/>
                          <w:sz w:val="18"/>
                        </w:rPr>
                      </w:pPr>
                      <w:r w:rsidRPr="00725EBF">
                        <w:rPr>
                          <w:color w:val="FFFFFF" w:themeColor="background1"/>
                          <w:sz w:val="18"/>
                        </w:rPr>
                        <w:t>- omkostningerne henføres til uddannelse</w:t>
                      </w:r>
                      <w:r>
                        <w:rPr>
                          <w:color w:val="FFFFFF" w:themeColor="background1"/>
                          <w:sz w:val="18"/>
                        </w:rPr>
                        <w:t>sudbud</w:t>
                      </w:r>
                      <w:r w:rsidRPr="00725EBF">
                        <w:rPr>
                          <w:color w:val="FFFFFF" w:themeColor="background1"/>
                          <w:sz w:val="18"/>
                        </w:rPr>
                        <w:t xml:space="preserve"> i uddannelseskataloget via den studerendes uddannelsestilknytning i henhold til produktionssystemet (f.eks. SIS/STADS)</w:t>
                      </w:r>
                    </w:p>
                    <w:p w14:paraId="5971F624" w14:textId="77777777" w:rsidR="00B00638" w:rsidRDefault="00B00638" w:rsidP="00AB1F51">
                      <w:pPr>
                        <w:rPr>
                          <w:b/>
                          <w:color w:val="FFFFFF" w:themeColor="background1"/>
                          <w:sz w:val="18"/>
                        </w:rPr>
                      </w:pPr>
                    </w:p>
                    <w:p w14:paraId="4DEEC6C6" w14:textId="7129F1A1"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2</w:t>
                      </w:r>
                      <w:r w:rsidRPr="00725EBF">
                        <w:rPr>
                          <w:b/>
                          <w:color w:val="FFFFFF" w:themeColor="background1"/>
                          <w:sz w:val="18"/>
                        </w:rPr>
                        <w:t>: ”Forskning” til fagområder</w:t>
                      </w:r>
                    </w:p>
                    <w:p w14:paraId="5C4C7CAF"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7D582ED8"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3B0A1C8A" w14:textId="77777777" w:rsidR="00B00638" w:rsidRPr="00725EBF" w:rsidRDefault="00B00638" w:rsidP="002B4869">
                      <w:pPr>
                        <w:rPr>
                          <w:i/>
                          <w:color w:val="FFFFFF" w:themeColor="background1"/>
                          <w:sz w:val="18"/>
                        </w:rPr>
                      </w:pPr>
                      <w:r w:rsidRPr="00725EBF">
                        <w:rPr>
                          <w:i/>
                          <w:color w:val="FFFFFF" w:themeColor="background1"/>
                          <w:sz w:val="18"/>
                        </w:rPr>
                        <w:t>I tilfælde af projektanvendelse:</w:t>
                      </w:r>
                    </w:p>
                    <w:p w14:paraId="0DF5AE95" w14:textId="77777777" w:rsidR="00B00638" w:rsidRPr="00725EBF" w:rsidRDefault="00B00638" w:rsidP="002B4869">
                      <w:pPr>
                        <w:rPr>
                          <w:color w:val="FFFFFF" w:themeColor="background1"/>
                          <w:sz w:val="18"/>
                        </w:rPr>
                      </w:pPr>
                      <w:r w:rsidRPr="00725EBF">
                        <w:rPr>
                          <w:color w:val="FFFFFF" w:themeColor="background1"/>
                          <w:sz w:val="18"/>
                        </w:rPr>
                        <w:t>- Bestanddelen af direkte omkostninger til tilskudsfinansieret forskningsaktivitet på produktionsstedet registreres direkte på de enkelte projekter.</w:t>
                      </w:r>
                    </w:p>
                    <w:p w14:paraId="25373271" w14:textId="77777777" w:rsidR="00B00638" w:rsidRPr="00725EBF" w:rsidRDefault="00B00638" w:rsidP="002B4869">
                      <w:pPr>
                        <w:rPr>
                          <w:color w:val="FFFFFF" w:themeColor="background1"/>
                          <w:sz w:val="18"/>
                        </w:rPr>
                      </w:pPr>
                      <w:r w:rsidRPr="00FA2E92">
                        <w:rPr>
                          <w:color w:val="FFFFFF" w:themeColor="background1"/>
                          <w:sz w:val="18"/>
                        </w:rPr>
                        <w:t>- Bestanddelen af direkte</w:t>
                      </w:r>
                      <w:r w:rsidRPr="00FA2E92">
                        <w:rPr>
                          <w:color w:val="FFFFFF" w:themeColor="background1"/>
                        </w:rPr>
                        <w:t xml:space="preserve"> </w:t>
                      </w:r>
                      <w:r w:rsidRPr="00FA2E92">
                        <w:rPr>
                          <w:color w:val="FFFFFF" w:themeColor="background1"/>
                          <w:sz w:val="18"/>
                        </w:rPr>
                        <w:t>og indirekte driftsomkostninger til forskningsaktivitet under almindelig virksomhed på produktionsstedet registreres direkte på de enkelte projekter.</w:t>
                      </w:r>
                    </w:p>
                    <w:p w14:paraId="5196E840" w14:textId="77777777" w:rsidR="00B00638" w:rsidRPr="00725EBF" w:rsidRDefault="00B00638" w:rsidP="002B4869">
                      <w:pPr>
                        <w:rPr>
                          <w:color w:val="FFFFFF" w:themeColor="background1"/>
                          <w:sz w:val="18"/>
                        </w:rPr>
                      </w:pPr>
                      <w:r w:rsidRPr="00725EBF">
                        <w:rPr>
                          <w:color w:val="FFFFFF" w:themeColor="background1"/>
                          <w:sz w:val="18"/>
                        </w:rPr>
                        <w:t>- Projekterne oprettes med et/flere fagområder</w:t>
                      </w:r>
                    </w:p>
                    <w:p w14:paraId="2558B8DE" w14:textId="77777777" w:rsidR="00B00638" w:rsidRPr="00725EBF" w:rsidRDefault="00B00638" w:rsidP="002B4869">
                      <w:pPr>
                        <w:rPr>
                          <w:i/>
                          <w:color w:val="FFFFFF" w:themeColor="background1"/>
                          <w:sz w:val="18"/>
                        </w:rPr>
                      </w:pPr>
                      <w:r w:rsidRPr="00725EBF">
                        <w:rPr>
                          <w:i/>
                          <w:color w:val="FFFFFF" w:themeColor="background1"/>
                          <w:sz w:val="18"/>
                        </w:rPr>
                        <w:t>Uden projektanvendelse:</w:t>
                      </w:r>
                    </w:p>
                    <w:p w14:paraId="57B8D96A" w14:textId="77777777" w:rsidR="00B00638" w:rsidRPr="00725EBF" w:rsidRDefault="00B00638" w:rsidP="002B4869">
                      <w:pPr>
                        <w:rPr>
                          <w:color w:val="FFFFFF" w:themeColor="background1"/>
                        </w:rPr>
                      </w:pPr>
                      <w:r w:rsidRPr="00725EBF">
                        <w:rPr>
                          <w:color w:val="FFFFFF" w:themeColor="background1"/>
                        </w:rPr>
                        <w:t xml:space="preserve">- </w:t>
                      </w:r>
                      <w:r w:rsidRPr="00725EBF">
                        <w:rPr>
                          <w:color w:val="FFFFFF" w:themeColor="background1"/>
                          <w:sz w:val="18"/>
                        </w:rPr>
                        <w:t>Institutledere el. lign. fordeler og godkender forskningsaktivitet på fagområder ud fra vurdering</w:t>
                      </w:r>
                    </w:p>
                    <w:p w14:paraId="69799D42" w14:textId="77777777" w:rsidR="00B00638" w:rsidRPr="00725EBF" w:rsidRDefault="00B00638" w:rsidP="002B4869">
                      <w:pPr>
                        <w:rPr>
                          <w:b/>
                          <w:color w:val="FFFFFF" w:themeColor="background1"/>
                          <w:sz w:val="18"/>
                        </w:rPr>
                      </w:pPr>
                      <w:r w:rsidRPr="00725EBF">
                        <w:rPr>
                          <w:color w:val="FFFFFF" w:themeColor="background1"/>
                          <w:sz w:val="18"/>
                        </w:rPr>
                        <w:t>Baggrund for fordeling: I forbindelse med oprettelse af projekter kan der fra hensigtsmæssig kilde angives mest præcise fagområder (en forsker er formentlig bedste kilde frem for regnskabsmedarbejder)</w:t>
                      </w:r>
                    </w:p>
                    <w:p w14:paraId="32A80269" w14:textId="77777777" w:rsidR="00B00638" w:rsidRDefault="00B00638" w:rsidP="00AB1F51">
                      <w:pPr>
                        <w:rPr>
                          <w:b/>
                          <w:color w:val="FFFFFF" w:themeColor="background1"/>
                          <w:sz w:val="18"/>
                        </w:rPr>
                      </w:pPr>
                    </w:p>
                    <w:p w14:paraId="3E90AFB3" w14:textId="71279C74" w:rsidR="00B00638" w:rsidRPr="00725EBF" w:rsidRDefault="00B00638" w:rsidP="00AB1F51">
                      <w:pPr>
                        <w:rPr>
                          <w:b/>
                          <w:color w:val="FFFFFF" w:themeColor="background1"/>
                          <w:sz w:val="18"/>
                        </w:rPr>
                      </w:pPr>
                      <w:r w:rsidRPr="00725EBF">
                        <w:rPr>
                          <w:b/>
                          <w:color w:val="FFFFFF" w:themeColor="background1"/>
                          <w:sz w:val="18"/>
                        </w:rPr>
                        <w:t>3.</w:t>
                      </w:r>
                      <w:r>
                        <w:rPr>
                          <w:b/>
                          <w:color w:val="FFFFFF" w:themeColor="background1"/>
                          <w:sz w:val="18"/>
                        </w:rPr>
                        <w:t>3</w:t>
                      </w:r>
                      <w:r w:rsidRPr="00725EBF">
                        <w:rPr>
                          <w:b/>
                          <w:color w:val="FFFFFF" w:themeColor="background1"/>
                          <w:sz w:val="18"/>
                        </w:rPr>
                        <w:t>: ”Formidling” til de enkelte formidlingsaktiviteter</w:t>
                      </w:r>
                    </w:p>
                    <w:p w14:paraId="4FB13287" w14:textId="77777777" w:rsidR="00B00638" w:rsidRPr="00725EBF" w:rsidRDefault="00B00638" w:rsidP="00AB1F51">
                      <w:pPr>
                        <w:rPr>
                          <w:color w:val="FFFFFF" w:themeColor="background1"/>
                          <w:sz w:val="18"/>
                        </w:rPr>
                      </w:pPr>
                      <w:r w:rsidRPr="00725EBF">
                        <w:rPr>
                          <w:color w:val="FFFFFF" w:themeColor="background1"/>
                          <w:sz w:val="18"/>
                        </w:rPr>
                        <w:t xml:space="preserve">- Fordeling af direkte og indirekte formidlingsomkostninger på </w:t>
                      </w:r>
                      <w:r>
                        <w:rPr>
                          <w:color w:val="FFFFFF" w:themeColor="background1"/>
                          <w:sz w:val="18"/>
                        </w:rPr>
                        <w:t>del</w:t>
                      </w:r>
                      <w:r w:rsidRPr="00725EBF">
                        <w:rPr>
                          <w:color w:val="FFFFFF" w:themeColor="background1"/>
                          <w:sz w:val="18"/>
                        </w:rPr>
                        <w:t>formål følger steddimensionen</w:t>
                      </w:r>
                    </w:p>
                    <w:p w14:paraId="5BEC5057" w14:textId="77777777" w:rsidR="00B00638" w:rsidRPr="00725EBF" w:rsidRDefault="00B00638" w:rsidP="00AB1F51">
                      <w:pPr>
                        <w:rPr>
                          <w:color w:val="FFFFFF" w:themeColor="background1"/>
                          <w:sz w:val="18"/>
                        </w:rPr>
                      </w:pPr>
                      <w:r w:rsidRPr="00725EBF">
                        <w:rPr>
                          <w:color w:val="FFFFFF" w:themeColor="background1"/>
                          <w:sz w:val="18"/>
                        </w:rPr>
                        <w:t xml:space="preserve">- bestanddelen af generelle fællesomkostninger følger </w:t>
                      </w:r>
                      <w:r>
                        <w:rPr>
                          <w:color w:val="FFFFFF" w:themeColor="background1"/>
                          <w:sz w:val="18"/>
                        </w:rPr>
                        <w:t>metoden i boks 2</w:t>
                      </w:r>
                      <w:r w:rsidRPr="00725EBF">
                        <w:rPr>
                          <w:color w:val="FFFFFF" w:themeColor="background1"/>
                          <w:sz w:val="18"/>
                        </w:rPr>
                        <w:t xml:space="preserve"> til laveste produktionssted</w:t>
                      </w:r>
                    </w:p>
                    <w:p w14:paraId="13D2F7A5" w14:textId="77777777" w:rsidR="00B00638" w:rsidRPr="00725EBF" w:rsidRDefault="00B00638" w:rsidP="00AB1F51">
                      <w:pPr>
                        <w:rPr>
                          <w:color w:val="FFFFFF" w:themeColor="background1"/>
                          <w:sz w:val="18"/>
                        </w:rPr>
                      </w:pPr>
                      <w:r w:rsidRPr="00725EBF">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1F7326D9" w14:textId="77777777" w:rsidR="00B00638" w:rsidRPr="00725EBF" w:rsidRDefault="00B00638" w:rsidP="00AB1F51">
                      <w:pPr>
                        <w:rPr>
                          <w:color w:val="FFFFFF" w:themeColor="background1"/>
                          <w:sz w:val="18"/>
                        </w:rPr>
                      </w:pPr>
                    </w:p>
                    <w:p w14:paraId="0B03F104" w14:textId="17AA0ECC" w:rsidR="00B00638" w:rsidRPr="00725EBF" w:rsidRDefault="00B00638" w:rsidP="002B4869">
                      <w:pPr>
                        <w:rPr>
                          <w:b/>
                          <w:color w:val="FFFFFF" w:themeColor="background1"/>
                          <w:sz w:val="18"/>
                        </w:rPr>
                      </w:pPr>
                      <w:r w:rsidRPr="00725EBF">
                        <w:rPr>
                          <w:b/>
                          <w:color w:val="FFFFFF" w:themeColor="background1"/>
                          <w:sz w:val="18"/>
                        </w:rPr>
                        <w:t>3.</w:t>
                      </w:r>
                      <w:r>
                        <w:rPr>
                          <w:b/>
                          <w:color w:val="FFFFFF" w:themeColor="background1"/>
                          <w:sz w:val="18"/>
                        </w:rPr>
                        <w:t>4</w:t>
                      </w:r>
                      <w:r w:rsidRPr="00725EBF">
                        <w:rPr>
                          <w:b/>
                          <w:color w:val="FFFFFF" w:themeColor="background1"/>
                          <w:sz w:val="18"/>
                        </w:rPr>
                        <w:t>: ”Myndighedsbetjening” til enkeltmyndigheder</w:t>
                      </w:r>
                    </w:p>
                    <w:p w14:paraId="3141E120" w14:textId="36EFDABB" w:rsidR="00B00638" w:rsidRPr="00725EBF" w:rsidRDefault="00B00638" w:rsidP="002B4869">
                      <w:pPr>
                        <w:rPr>
                          <w:color w:val="FFFFFF" w:themeColor="background1"/>
                          <w:sz w:val="18"/>
                        </w:rPr>
                      </w:pPr>
                      <w:r w:rsidRPr="00725EBF">
                        <w:rPr>
                          <w:color w:val="FFFFFF" w:themeColor="background1"/>
                          <w:sz w:val="18"/>
                        </w:rPr>
                        <w:t xml:space="preserve">- Fordeling af direkte og indirekte myndighedsbetjeningsomkostninger på </w:t>
                      </w:r>
                      <w:r>
                        <w:rPr>
                          <w:color w:val="FFFFFF" w:themeColor="background1"/>
                          <w:sz w:val="18"/>
                        </w:rPr>
                        <w:t>del</w:t>
                      </w:r>
                      <w:r w:rsidRPr="00725EBF">
                        <w:rPr>
                          <w:color w:val="FFFFFF" w:themeColor="background1"/>
                          <w:sz w:val="18"/>
                        </w:rPr>
                        <w:t>formål følger projektopgørelse pr. myndighed.</w:t>
                      </w:r>
                    </w:p>
                    <w:p w14:paraId="476644B8" w14:textId="77777777" w:rsidR="00B00638" w:rsidRPr="00D47B59" w:rsidRDefault="00B00638" w:rsidP="002B4869">
                      <w:pPr>
                        <w:rPr>
                          <w:color w:val="FFFFFF" w:themeColor="background1"/>
                          <w:sz w:val="18"/>
                        </w:rPr>
                      </w:pPr>
                      <w:r w:rsidRPr="00D47B59">
                        <w:rPr>
                          <w:color w:val="FFFFFF" w:themeColor="background1"/>
                          <w:sz w:val="18"/>
                        </w:rPr>
                        <w:t xml:space="preserve">- 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3967143F" w14:textId="77777777" w:rsidR="00B00638" w:rsidRPr="00D47B59" w:rsidRDefault="00B00638" w:rsidP="002B4869">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729808B8" w14:textId="77777777" w:rsidR="00B00638" w:rsidRDefault="00B00638" w:rsidP="00AB1F51">
                      <w:pPr>
                        <w:rPr>
                          <w:b/>
                          <w:color w:val="FFFFFF" w:themeColor="background1"/>
                          <w:sz w:val="18"/>
                        </w:rPr>
                      </w:pPr>
                    </w:p>
                    <w:p w14:paraId="1FA60543" w14:textId="720656F0" w:rsidR="00B00638" w:rsidRPr="00725EBF" w:rsidRDefault="00B00638" w:rsidP="00AB1F51">
                      <w:pPr>
                        <w:rPr>
                          <w:b/>
                          <w:color w:val="FFFFFF" w:themeColor="background1"/>
                          <w:sz w:val="18"/>
                        </w:rPr>
                      </w:pPr>
                      <w:r w:rsidRPr="00725EBF">
                        <w:rPr>
                          <w:b/>
                          <w:color w:val="FFFFFF" w:themeColor="background1"/>
                          <w:sz w:val="18"/>
                        </w:rPr>
                        <w:t>3.</w:t>
                      </w:r>
                      <w:r>
                        <w:rPr>
                          <w:b/>
                          <w:color w:val="FFFFFF" w:themeColor="background1"/>
                          <w:sz w:val="18"/>
                        </w:rPr>
                        <w:t>5</w:t>
                      </w:r>
                      <w:r w:rsidRPr="00725EBF">
                        <w:rPr>
                          <w:b/>
                          <w:color w:val="FFFFFF" w:themeColor="background1"/>
                          <w:sz w:val="18"/>
                        </w:rPr>
                        <w:t>: ”Kostafdelinger” til de enkelte kostafdelinger</w:t>
                      </w:r>
                    </w:p>
                    <w:p w14:paraId="3F24982F" w14:textId="77777777" w:rsidR="00B00638" w:rsidRPr="00725EBF" w:rsidRDefault="00B00638" w:rsidP="00AB1F51">
                      <w:pPr>
                        <w:rPr>
                          <w:color w:val="FFFFFF" w:themeColor="background1"/>
                          <w:sz w:val="18"/>
                        </w:rPr>
                      </w:pPr>
                      <w:r w:rsidRPr="00725EBF">
                        <w:rPr>
                          <w:color w:val="FFFFFF" w:themeColor="background1"/>
                          <w:sz w:val="18"/>
                        </w:rPr>
                        <w:t xml:space="preserve">- Fordeling af direkte og indirekte kostafdelingsomkostninger på </w:t>
                      </w:r>
                      <w:r>
                        <w:rPr>
                          <w:color w:val="FFFFFF" w:themeColor="background1"/>
                          <w:sz w:val="18"/>
                        </w:rPr>
                        <w:t>del</w:t>
                      </w:r>
                      <w:r w:rsidRPr="00725EBF">
                        <w:rPr>
                          <w:color w:val="FFFFFF" w:themeColor="background1"/>
                          <w:sz w:val="18"/>
                        </w:rPr>
                        <w:t>formål følger steddimensionen</w:t>
                      </w:r>
                    </w:p>
                    <w:p w14:paraId="79EF096E" w14:textId="7842232E" w:rsidR="00B00638" w:rsidRPr="00D47B59" w:rsidRDefault="00B00638" w:rsidP="00B7531F">
                      <w:pPr>
                        <w:rPr>
                          <w:color w:val="FFFFFF" w:themeColor="background1"/>
                          <w:sz w:val="18"/>
                        </w:rPr>
                      </w:pPr>
                      <w:r w:rsidRPr="00725EBF">
                        <w:rPr>
                          <w:color w:val="FFFFFF" w:themeColor="background1"/>
                          <w:sz w:val="18"/>
                        </w:rPr>
                        <w:t xml:space="preserve">- </w:t>
                      </w:r>
                      <w:r w:rsidRPr="00D47B59">
                        <w:rPr>
                          <w:color w:val="FFFFFF" w:themeColor="background1"/>
                          <w:sz w:val="18"/>
                        </w:rPr>
                        <w:t xml:space="preserve">bestanddelen af generelle fællesomkostninger følger </w:t>
                      </w:r>
                      <w:r>
                        <w:rPr>
                          <w:color w:val="FFFFFF" w:themeColor="background1"/>
                          <w:sz w:val="18"/>
                        </w:rPr>
                        <w:t>metoden i boks 2</w:t>
                      </w:r>
                      <w:r w:rsidRPr="00D47B59">
                        <w:rPr>
                          <w:color w:val="FFFFFF" w:themeColor="background1"/>
                          <w:sz w:val="18"/>
                        </w:rPr>
                        <w:t xml:space="preserve"> til laveste produktionssted</w:t>
                      </w:r>
                    </w:p>
                    <w:p w14:paraId="56A1124C" w14:textId="0ADF9A94" w:rsidR="00B00638" w:rsidRPr="00725EBF" w:rsidRDefault="00B00638" w:rsidP="00AB1F51">
                      <w:pPr>
                        <w:rPr>
                          <w:color w:val="FFFFFF" w:themeColor="background1"/>
                          <w:sz w:val="18"/>
                        </w:rPr>
                      </w:pPr>
                      <w:r w:rsidRPr="00D47B59">
                        <w:rPr>
                          <w:color w:val="FFFFFF" w:themeColor="background1"/>
                          <w:sz w:val="18"/>
                        </w:rPr>
                        <w:t xml:space="preserve">- bestanddelen af bygningsomkostningerne fordeles </w:t>
                      </w:r>
                      <w:r>
                        <w:rPr>
                          <w:color w:val="FFFFFF" w:themeColor="background1"/>
                          <w:sz w:val="18"/>
                        </w:rPr>
                        <w:t xml:space="preserve">efter metoden i boks 2 til laveste entydigt </w:t>
                      </w:r>
                      <w:proofErr w:type="spellStart"/>
                      <w:r>
                        <w:rPr>
                          <w:color w:val="FFFFFF" w:themeColor="background1"/>
                          <w:sz w:val="18"/>
                        </w:rPr>
                        <w:t>henførbare</w:t>
                      </w:r>
                      <w:proofErr w:type="spellEnd"/>
                      <w:r>
                        <w:rPr>
                          <w:color w:val="FFFFFF" w:themeColor="background1"/>
                          <w:sz w:val="18"/>
                        </w:rPr>
                        <w:t xml:space="preserve"> stedniveau.</w:t>
                      </w:r>
                    </w:p>
                    <w:p w14:paraId="07B6EB90" w14:textId="77777777" w:rsidR="00B00638" w:rsidRPr="00725EBF" w:rsidRDefault="00B00638" w:rsidP="00AB1F51">
                      <w:pPr>
                        <w:rPr>
                          <w:color w:val="FFFFFF" w:themeColor="background1"/>
                          <w:sz w:val="18"/>
                        </w:rPr>
                      </w:pPr>
                    </w:p>
                  </w:txbxContent>
                </v:textbox>
                <w10:anchorlock/>
              </v:rect>
            </w:pict>
          </mc:Fallback>
        </mc:AlternateContent>
      </w:r>
    </w:p>
    <w:p w14:paraId="60281AC9" w14:textId="77777777" w:rsidR="00D855EB" w:rsidRDefault="00D855EB" w:rsidP="00725EBF">
      <w:pPr>
        <w:rPr>
          <w:i/>
          <w:color w:val="auto"/>
          <w:highlight w:val="lightGray"/>
        </w:rPr>
      </w:pPr>
    </w:p>
    <w:p w14:paraId="19C289EA" w14:textId="15936CE9" w:rsidR="00037676" w:rsidRDefault="00D855EB" w:rsidP="00725EBF">
      <w:pPr>
        <w:rPr>
          <w:i/>
          <w:color w:val="auto"/>
          <w:highlight w:val="lightGray"/>
        </w:rPr>
      </w:pPr>
      <w:r w:rsidRPr="00D855EB">
        <w:rPr>
          <w:i/>
          <w:color w:val="auto"/>
          <w:highlight w:val="lightGray"/>
        </w:rPr>
        <w:t>[SIU udarbejder metode for central opgørelse af omkostninger på delformål/enhedsomkostninger.]</w:t>
      </w:r>
    </w:p>
    <w:p w14:paraId="53C5E00A" w14:textId="77777777" w:rsidR="00037676" w:rsidRDefault="00037676">
      <w:pPr>
        <w:tabs>
          <w:tab w:val="clear" w:pos="454"/>
        </w:tabs>
        <w:rPr>
          <w:i/>
          <w:color w:val="auto"/>
          <w:highlight w:val="lightGray"/>
        </w:rPr>
      </w:pPr>
      <w:r>
        <w:rPr>
          <w:i/>
          <w:color w:val="auto"/>
          <w:highlight w:val="lightGray"/>
        </w:rPr>
        <w:br w:type="page"/>
      </w:r>
    </w:p>
    <w:p w14:paraId="7B0606AA" w14:textId="261A19C4" w:rsidR="00037676" w:rsidRPr="00AE0FD2" w:rsidRDefault="00037676" w:rsidP="00037676">
      <w:pPr>
        <w:spacing w:line="260" w:lineRule="exact"/>
        <w:rPr>
          <w:color w:val="auto"/>
          <w:u w:val="single"/>
        </w:rPr>
      </w:pPr>
      <w:r w:rsidRPr="00AE0FD2">
        <w:rPr>
          <w:color w:val="auto"/>
          <w:u w:val="single"/>
        </w:rPr>
        <w:lastRenderedPageBreak/>
        <w:t xml:space="preserve">KOMMENTARER FRA INSTITUTIONERNE TIL KAPITEL </w:t>
      </w:r>
      <w:r>
        <w:rPr>
          <w:color w:val="auto"/>
          <w:u w:val="single"/>
        </w:rPr>
        <w:t>6</w:t>
      </w:r>
      <w:r w:rsidRPr="00AE0FD2">
        <w:rPr>
          <w:color w:val="auto"/>
          <w:u w:val="single"/>
        </w:rPr>
        <w:t>:</w:t>
      </w:r>
    </w:p>
    <w:p w14:paraId="313AB094" w14:textId="77777777" w:rsidR="00037676" w:rsidRPr="00AE0FD2" w:rsidRDefault="00037676" w:rsidP="00037676">
      <w:pPr>
        <w:spacing w:line="260" w:lineRule="exact"/>
        <w:rPr>
          <w:color w:val="auto"/>
        </w:rPr>
      </w:pPr>
    </w:p>
    <w:p w14:paraId="3394EB51" w14:textId="77777777" w:rsidR="00037676" w:rsidRPr="00AE0FD2" w:rsidRDefault="00037676" w:rsidP="00037676">
      <w:pPr>
        <w:spacing w:line="260" w:lineRule="exact"/>
        <w:rPr>
          <w:color w:val="auto"/>
        </w:rPr>
      </w:pPr>
      <w:r w:rsidRPr="00AE0FD2">
        <w:rPr>
          <w:color w:val="auto"/>
        </w:rPr>
        <w:t xml:space="preserve">SIU har </w:t>
      </w:r>
      <w:r>
        <w:rPr>
          <w:color w:val="auto"/>
        </w:rPr>
        <w:t xml:space="preserve">til version 2.1 af denne vejledning </w:t>
      </w:r>
      <w:r w:rsidRPr="00AE0FD2">
        <w:rPr>
          <w:color w:val="auto"/>
        </w:rPr>
        <w:t xml:space="preserve">modtaget nedenstående kommentarer fra </w:t>
      </w:r>
      <w:r>
        <w:rPr>
          <w:color w:val="auto"/>
        </w:rPr>
        <w:t>DTU og KP</w:t>
      </w:r>
      <w:r w:rsidRPr="00AE0FD2">
        <w:rPr>
          <w:color w:val="auto"/>
        </w:rPr>
        <w:t>. Kommentarerne er enten indarbejdet i denne version af konterings- og fordelingsvejledningen, eller drøftes med institutionerne i efteråret 2019.</w:t>
      </w:r>
    </w:p>
    <w:p w14:paraId="73145C30" w14:textId="77777777" w:rsidR="00037676" w:rsidRPr="00AE0FD2" w:rsidRDefault="00037676" w:rsidP="00037676">
      <w:pPr>
        <w:spacing w:line="260" w:lineRule="exact"/>
        <w:rPr>
          <w:color w:val="auto"/>
        </w:rPr>
      </w:pPr>
    </w:p>
    <w:p w14:paraId="6F218E80" w14:textId="77777777" w:rsidR="00037676" w:rsidRPr="009F14ED" w:rsidRDefault="00037676" w:rsidP="00037676">
      <w:pPr>
        <w:spacing w:line="260" w:lineRule="exact"/>
        <w:rPr>
          <w:color w:val="auto"/>
        </w:rPr>
      </w:pPr>
      <w:r>
        <w:rPr>
          <w:color w:val="auto"/>
        </w:rPr>
        <w:t>DT</w:t>
      </w:r>
      <w:r w:rsidRPr="00AE0FD2">
        <w:rPr>
          <w:color w:val="auto"/>
        </w:rPr>
        <w:t xml:space="preserve">U har </w:t>
      </w:r>
      <w:r w:rsidRPr="009F14ED">
        <w:rPr>
          <w:color w:val="auto"/>
        </w:rPr>
        <w:t>kommenteret at:</w:t>
      </w:r>
    </w:p>
    <w:p w14:paraId="3046A3A1" w14:textId="1D2EC9F9" w:rsidR="00037676" w:rsidRPr="00037676" w:rsidRDefault="00037676" w:rsidP="007A6B50">
      <w:pPr>
        <w:pStyle w:val="Opstilling-punkttegn"/>
        <w:spacing w:after="80" w:line="260" w:lineRule="exact"/>
        <w:contextualSpacing w:val="0"/>
        <w:rPr>
          <w:i/>
          <w:color w:val="auto"/>
        </w:rPr>
      </w:pPr>
      <w:r w:rsidRPr="00037676">
        <w:rPr>
          <w:i/>
          <w:color w:val="auto"/>
        </w:rPr>
        <w:t>det kan være problematisk at anvende antal studerende og ansatte til fordeling af formål 6 og 7, og ønsker at anvende en r</w:t>
      </w:r>
      <w:r w:rsidRPr="00037676">
        <w:rPr>
          <w:rFonts w:cs="Georgia"/>
          <w:i/>
          <w:color w:val="auto"/>
        </w:rPr>
        <w:t>æ</w:t>
      </w:r>
      <w:r w:rsidRPr="00037676">
        <w:rPr>
          <w:i/>
          <w:color w:val="auto"/>
        </w:rPr>
        <w:t>kke forskellige n</w:t>
      </w:r>
      <w:r w:rsidRPr="00037676">
        <w:rPr>
          <w:rFonts w:cs="Georgia"/>
          <w:i/>
          <w:color w:val="auto"/>
        </w:rPr>
        <w:t>ø</w:t>
      </w:r>
      <w:r w:rsidRPr="00037676">
        <w:rPr>
          <w:i/>
          <w:color w:val="auto"/>
        </w:rPr>
        <w:t>gler, afh</w:t>
      </w:r>
      <w:r w:rsidRPr="00037676">
        <w:rPr>
          <w:rFonts w:cs="Georgia"/>
          <w:i/>
          <w:color w:val="auto"/>
        </w:rPr>
        <w:t>æ</w:t>
      </w:r>
      <w:r w:rsidRPr="00037676">
        <w:rPr>
          <w:i/>
          <w:color w:val="auto"/>
        </w:rPr>
        <w:t>ngig af hvad det er for udgifter som fordeles. DTU vurderer, at anvendelse af institutionsspecifikke nøgler på de enkelte institutioner, vil gøre resultaterne mest retvisende</w:t>
      </w:r>
    </w:p>
    <w:p w14:paraId="77CDA821" w14:textId="3F2A69BF" w:rsidR="00037676" w:rsidRDefault="00037676" w:rsidP="007A6B50">
      <w:pPr>
        <w:pStyle w:val="Opstilling-punkttegn"/>
        <w:spacing w:after="80" w:line="260" w:lineRule="exact"/>
        <w:contextualSpacing w:val="0"/>
        <w:rPr>
          <w:i/>
          <w:color w:val="auto"/>
        </w:rPr>
      </w:pPr>
      <w:r w:rsidRPr="00037676">
        <w:rPr>
          <w:i/>
          <w:color w:val="auto"/>
        </w:rPr>
        <w:t>fordelinger på delformål bør ikke bogf</w:t>
      </w:r>
      <w:r w:rsidRPr="00037676">
        <w:rPr>
          <w:rFonts w:cs="Georgia"/>
          <w:i/>
          <w:color w:val="auto"/>
        </w:rPr>
        <w:t>ø</w:t>
      </w:r>
      <w:r w:rsidRPr="00037676">
        <w:rPr>
          <w:i/>
          <w:color w:val="auto"/>
        </w:rPr>
        <w:t>res i produktionssystemet, da det ikke er n</w:t>
      </w:r>
      <w:r w:rsidRPr="00037676">
        <w:rPr>
          <w:rFonts w:cs="Georgia"/>
          <w:i/>
          <w:color w:val="auto"/>
        </w:rPr>
        <w:t>ø</w:t>
      </w:r>
      <w:r w:rsidRPr="00037676">
        <w:rPr>
          <w:i/>
          <w:color w:val="auto"/>
        </w:rPr>
        <w:t>dvendigt for den påt</w:t>
      </w:r>
      <w:r w:rsidRPr="00037676">
        <w:rPr>
          <w:rFonts w:cs="Georgia"/>
          <w:i/>
          <w:color w:val="auto"/>
        </w:rPr>
        <w:t>æ</w:t>
      </w:r>
      <w:r w:rsidRPr="00037676">
        <w:rPr>
          <w:i/>
          <w:color w:val="auto"/>
        </w:rPr>
        <w:t xml:space="preserve">nkte rapportering eller revisionen heraf og dermed er en helt unødvendig ekstra handling uden værdi (jf. kravet om ”afbalanceret ressourceindsats”). DTU forudsætter i øvrigt at afrapporteringen på delformål, ikke medtager de </w:t>
      </w:r>
      <w:r w:rsidRPr="00037676">
        <w:rPr>
          <w:rFonts w:cs="Georgia"/>
          <w:i/>
          <w:color w:val="auto"/>
        </w:rPr>
        <w:t>ø</w:t>
      </w:r>
      <w:r w:rsidRPr="00037676">
        <w:rPr>
          <w:i/>
          <w:color w:val="auto"/>
        </w:rPr>
        <w:t>vrige dimensioner: art, delregnskab og sted</w:t>
      </w:r>
      <w:r w:rsidR="007A6B50">
        <w:rPr>
          <w:i/>
          <w:color w:val="auto"/>
        </w:rPr>
        <w:t>.</w:t>
      </w:r>
    </w:p>
    <w:p w14:paraId="59279F93" w14:textId="77777777" w:rsidR="007A6B50" w:rsidRPr="00037676" w:rsidRDefault="007A6B50" w:rsidP="007A6B50">
      <w:pPr>
        <w:pStyle w:val="Opstilling-punkttegn"/>
        <w:numPr>
          <w:ilvl w:val="0"/>
          <w:numId w:val="0"/>
        </w:numPr>
        <w:spacing w:after="80" w:line="260" w:lineRule="exact"/>
        <w:ind w:left="720"/>
        <w:contextualSpacing w:val="0"/>
        <w:rPr>
          <w:i/>
          <w:color w:val="auto"/>
        </w:rPr>
      </w:pPr>
    </w:p>
    <w:p w14:paraId="3D7C9D75" w14:textId="3DF150B2" w:rsidR="00037676" w:rsidRPr="009F14ED" w:rsidRDefault="00037676" w:rsidP="00037676">
      <w:pPr>
        <w:spacing w:line="260" w:lineRule="exact"/>
        <w:rPr>
          <w:color w:val="auto"/>
        </w:rPr>
      </w:pPr>
      <w:r>
        <w:rPr>
          <w:color w:val="auto"/>
        </w:rPr>
        <w:t>KP</w:t>
      </w:r>
      <w:r w:rsidRPr="00AE0FD2">
        <w:rPr>
          <w:color w:val="auto"/>
        </w:rPr>
        <w:t xml:space="preserve"> har </w:t>
      </w:r>
      <w:r w:rsidRPr="009F14ED">
        <w:rPr>
          <w:color w:val="auto"/>
        </w:rPr>
        <w:t>kommenteret at:</w:t>
      </w:r>
    </w:p>
    <w:p w14:paraId="592D5A69" w14:textId="42B3DDAC" w:rsidR="00037676" w:rsidRDefault="00037676" w:rsidP="00037676">
      <w:pPr>
        <w:pStyle w:val="Opstilling-punkttegn"/>
        <w:rPr>
          <w:i/>
          <w:color w:val="auto"/>
        </w:rPr>
      </w:pPr>
      <w:r w:rsidRPr="00037676">
        <w:rPr>
          <w:i/>
          <w:color w:val="auto"/>
        </w:rPr>
        <w:t>fordelingsnøglen ’bestand’ på bygningsomkostninger kan være vanskelig. Udover ovenstående udfordring med forskelle i bygningsmasse er der en udfordring med at det fx på IDV er svært at opgøre bestand samt om en studerende/ansat har samme vægt.</w:t>
      </w:r>
    </w:p>
    <w:p w14:paraId="094BD911" w14:textId="578C7249" w:rsidR="00CD5B8B" w:rsidRDefault="00CD5B8B" w:rsidP="00CD5B8B">
      <w:pPr>
        <w:pStyle w:val="Opstilling-punkttegn"/>
        <w:numPr>
          <w:ilvl w:val="0"/>
          <w:numId w:val="0"/>
        </w:numPr>
        <w:ind w:left="720" w:hanging="360"/>
        <w:rPr>
          <w:i/>
          <w:color w:val="auto"/>
        </w:rPr>
      </w:pPr>
    </w:p>
    <w:p w14:paraId="42094871" w14:textId="188DCF1B" w:rsidR="00CD5B8B" w:rsidRDefault="00CD5B8B" w:rsidP="00CD5B8B">
      <w:pPr>
        <w:pStyle w:val="Opstilling-punkttegn"/>
        <w:numPr>
          <w:ilvl w:val="0"/>
          <w:numId w:val="0"/>
        </w:numPr>
        <w:ind w:left="360" w:hanging="360"/>
        <w:rPr>
          <w:color w:val="auto"/>
        </w:rPr>
      </w:pPr>
      <w:r>
        <w:rPr>
          <w:color w:val="auto"/>
        </w:rPr>
        <w:t>Flere institutioner har kommenteret at:</w:t>
      </w:r>
    </w:p>
    <w:p w14:paraId="134F0758" w14:textId="0E708F3A" w:rsidR="00CD5B8B" w:rsidRPr="00CD5B8B" w:rsidRDefault="00CD5B8B" w:rsidP="00CD5B8B">
      <w:pPr>
        <w:pStyle w:val="Opstilling-punkttegn"/>
        <w:rPr>
          <w:i/>
          <w:color w:val="auto"/>
        </w:rPr>
      </w:pPr>
      <w:r w:rsidRPr="00CD5B8B">
        <w:rPr>
          <w:i/>
          <w:color w:val="auto"/>
        </w:rPr>
        <w:t>et udtryk for bestand til fordeling af bygningsomkostninger (jf. ovenstående boks 2) er problematisk. I stedet foreslås fx årsværksopgørelser</w:t>
      </w:r>
      <w:r>
        <w:rPr>
          <w:i/>
          <w:color w:val="auto"/>
        </w:rPr>
        <w:t xml:space="preserve"> og STÅ</w:t>
      </w:r>
      <w:r w:rsidRPr="00CD5B8B">
        <w:rPr>
          <w:i/>
          <w:color w:val="auto"/>
        </w:rPr>
        <w:t>.</w:t>
      </w:r>
    </w:p>
    <w:p w14:paraId="567E27EC" w14:textId="77777777" w:rsidR="005F79ED" w:rsidRDefault="005F79ED" w:rsidP="00725EBF">
      <w:pPr>
        <w:rPr>
          <w:color w:val="auto"/>
          <w:sz w:val="24"/>
          <w:szCs w:val="24"/>
        </w:rPr>
      </w:pPr>
    </w:p>
    <w:p w14:paraId="40CE79CD" w14:textId="37E98C0E" w:rsidR="00F304A5" w:rsidRPr="008D62C2" w:rsidRDefault="00AF30CF" w:rsidP="00B56D11">
      <w:pPr>
        <w:pStyle w:val="Overskrift1"/>
        <w:rPr>
          <w:color w:val="auto"/>
        </w:rPr>
      </w:pPr>
      <w:bookmarkStart w:id="137" w:name="_Toc19183000"/>
      <w:bookmarkStart w:id="138" w:name="_Toc19280590"/>
      <w:r w:rsidRPr="008D62C2">
        <w:rPr>
          <w:color w:val="auto"/>
        </w:rPr>
        <w:lastRenderedPageBreak/>
        <w:t>R</w:t>
      </w:r>
      <w:r w:rsidR="008D62C2">
        <w:rPr>
          <w:color w:val="auto"/>
        </w:rPr>
        <w:t>evision</w:t>
      </w:r>
      <w:bookmarkEnd w:id="137"/>
      <w:bookmarkEnd w:id="138"/>
      <w:r w:rsidR="008D62C2">
        <w:rPr>
          <w:color w:val="auto"/>
        </w:rPr>
        <w:t xml:space="preserve"> </w:t>
      </w:r>
    </w:p>
    <w:p w14:paraId="15E0E542" w14:textId="2D49B327" w:rsidR="00077F87" w:rsidRPr="00210F0B" w:rsidRDefault="00E12842" w:rsidP="00077F87">
      <w:pPr>
        <w:pStyle w:val="Opstilling-punkttegn"/>
        <w:numPr>
          <w:ilvl w:val="0"/>
          <w:numId w:val="0"/>
        </w:numPr>
        <w:rPr>
          <w:color w:val="auto"/>
        </w:rPr>
      </w:pPr>
      <w:r w:rsidRPr="00210F0B">
        <w:rPr>
          <w:color w:val="auto"/>
        </w:rPr>
        <w:t>Kravene til institutionens regnskabsregistrering og fordelinger af driftsposteringer er omfattet af de til enhver tid gældende regler for institutionens regnskabsaflæggelse og revision</w:t>
      </w:r>
      <w:r w:rsidR="00077F87" w:rsidRPr="00210F0B">
        <w:rPr>
          <w:color w:val="auto"/>
        </w:rPr>
        <w:t>, herunder</w:t>
      </w:r>
      <w:r w:rsidR="00077F87" w:rsidRPr="00210F0B">
        <w:rPr>
          <w:color w:val="auto"/>
          <w:sz w:val="18"/>
          <w:szCs w:val="18"/>
        </w:rPr>
        <w:t xml:space="preserve"> Bekendtgørelse om statens regnskabsvæsen mv.” nr. 116 af 19. februar 2018, udstedt i medfør af ”Lov om statens regnskabsvæsen mv.” nr. 131 af 28. marts 1984, med de krav til supplerende bilag til regnskabet, som fremgår af de sektorspecifikke bekendtgørelser om tilskud og revision. Regnskabsreglerne er i øvrigt nærmere specificeret i Finansministeriets Økonomisk- Administrative Vejledning ("</w:t>
      </w:r>
      <w:proofErr w:type="spellStart"/>
      <w:r w:rsidR="00077F87" w:rsidRPr="00210F0B">
        <w:rPr>
          <w:color w:val="auto"/>
          <w:sz w:val="18"/>
          <w:szCs w:val="18"/>
        </w:rPr>
        <w:t>ØAV'en</w:t>
      </w:r>
      <w:proofErr w:type="spellEnd"/>
      <w:r w:rsidR="00077F87" w:rsidRPr="00210F0B">
        <w:rPr>
          <w:color w:val="auto"/>
          <w:sz w:val="18"/>
          <w:szCs w:val="18"/>
        </w:rPr>
        <w:t>"). Aflæggelse af årsregnskab sker i øvrigt efter de til enhver tid gældende retningslinjer fra Uddannelses- og Forskningsministeriet.</w:t>
      </w:r>
    </w:p>
    <w:p w14:paraId="7D20BA18" w14:textId="339F4B24" w:rsidR="00207D2D" w:rsidRPr="00210F0B" w:rsidRDefault="00A74B2B" w:rsidP="0066677A">
      <w:pPr>
        <w:rPr>
          <w:color w:val="auto"/>
        </w:rPr>
      </w:pPr>
      <w:r w:rsidRPr="00210F0B">
        <w:rPr>
          <w:color w:val="auto"/>
        </w:rPr>
        <w:t xml:space="preserve">Rigsrevisor har ansvaret for revisionen af institutionerne. Rigsrevisor </w:t>
      </w:r>
      <w:r w:rsidR="00077F87" w:rsidRPr="00210F0B">
        <w:rPr>
          <w:color w:val="auto"/>
        </w:rPr>
        <w:t xml:space="preserve">har indgået aftale med uddannelses- og forskningsministeren om at revisionsopgaven kan varetages i et nærmere fastlagt samarbejde mellem rigsrevisor en anden revisor (institutionsrevisor). Dette samarbejde er fastlagt i de såkaldte </w:t>
      </w:r>
      <w:r w:rsidR="007458A8" w:rsidRPr="00210F0B">
        <w:rPr>
          <w:i/>
          <w:color w:val="auto"/>
        </w:rPr>
        <w:t>§9 aftaler</w:t>
      </w:r>
      <w:r w:rsidR="007458A8" w:rsidRPr="00210F0B">
        <w:rPr>
          <w:color w:val="auto"/>
        </w:rPr>
        <w:t xml:space="preserve">. </w:t>
      </w:r>
    </w:p>
    <w:p w14:paraId="6B90302A" w14:textId="77777777" w:rsidR="004B27A2" w:rsidRPr="00210F0B" w:rsidRDefault="004B27A2" w:rsidP="0066677A">
      <w:pPr>
        <w:rPr>
          <w:color w:val="auto"/>
        </w:rPr>
      </w:pPr>
    </w:p>
    <w:p w14:paraId="1594A86E" w14:textId="77777777" w:rsidR="00207D2D" w:rsidRPr="00210F0B" w:rsidRDefault="00207D2D" w:rsidP="0066677A">
      <w:pPr>
        <w:rPr>
          <w:color w:val="auto"/>
        </w:rPr>
      </w:pPr>
      <w:r w:rsidRPr="00210F0B">
        <w:rPr>
          <w:color w:val="auto"/>
        </w:rPr>
        <w:t>Uddannelses- og forskningsministeriet kan til en</w:t>
      </w:r>
      <w:r w:rsidR="00307094" w:rsidRPr="00210F0B">
        <w:rPr>
          <w:color w:val="auto"/>
        </w:rPr>
        <w:t>hver</w:t>
      </w:r>
      <w:r w:rsidRPr="00210F0B">
        <w:rPr>
          <w:color w:val="auto"/>
        </w:rPr>
        <w:t xml:space="preserve"> tid anmode om revisionserklæringer på særskilte indberetninger jf.</w:t>
      </w:r>
      <w:r w:rsidR="007458A8" w:rsidRPr="00210F0B">
        <w:rPr>
          <w:color w:val="auto"/>
        </w:rPr>
        <w:t xml:space="preserve"> gældende bekendtgørelse. </w:t>
      </w:r>
    </w:p>
    <w:p w14:paraId="5731AA2A" w14:textId="77777777" w:rsidR="00207D2D" w:rsidRPr="00210F0B" w:rsidRDefault="00207D2D" w:rsidP="00725EBF">
      <w:pPr>
        <w:pStyle w:val="Opstilling-punkttegn"/>
        <w:numPr>
          <w:ilvl w:val="0"/>
          <w:numId w:val="0"/>
        </w:numPr>
        <w:rPr>
          <w:color w:val="auto"/>
        </w:rPr>
      </w:pPr>
    </w:p>
    <w:p w14:paraId="30E89CB3" w14:textId="7A8877D4" w:rsidR="00314E48" w:rsidRPr="00210F0B" w:rsidRDefault="00314E48" w:rsidP="00314E48">
      <w:pPr>
        <w:pStyle w:val="Opstilling-punkttegn"/>
        <w:numPr>
          <w:ilvl w:val="0"/>
          <w:numId w:val="0"/>
        </w:numPr>
        <w:ind w:left="283" w:hanging="283"/>
        <w:rPr>
          <w:i/>
          <w:color w:val="auto"/>
        </w:rPr>
      </w:pPr>
      <w:r w:rsidRPr="00210F0B">
        <w:rPr>
          <w:i/>
          <w:color w:val="auto"/>
          <w:highlight w:val="lightGray"/>
        </w:rPr>
        <w:t>[Revisionskrav og –forskrifter udarbejdes af SIU</w:t>
      </w:r>
      <w:r w:rsidR="000C6E52">
        <w:rPr>
          <w:i/>
          <w:color w:val="auto"/>
          <w:highlight w:val="lightGray"/>
        </w:rPr>
        <w:t xml:space="preserve"> i efteråret 2019</w:t>
      </w:r>
      <w:r w:rsidRPr="00210F0B">
        <w:rPr>
          <w:i/>
          <w:color w:val="auto"/>
          <w:highlight w:val="lightGray"/>
        </w:rPr>
        <w:t>]</w:t>
      </w:r>
    </w:p>
    <w:p w14:paraId="254D7200" w14:textId="77777777" w:rsidR="00803373" w:rsidRDefault="00803373" w:rsidP="00803373">
      <w:pPr>
        <w:pStyle w:val="Default"/>
      </w:pPr>
    </w:p>
    <w:p w14:paraId="1C085406" w14:textId="77777777" w:rsidR="004259E2" w:rsidRDefault="004259E2" w:rsidP="0066677A">
      <w:pPr>
        <w:rPr>
          <w:color w:val="auto"/>
        </w:rPr>
      </w:pPr>
    </w:p>
    <w:p w14:paraId="068C2C58" w14:textId="77777777" w:rsidR="004259E2" w:rsidRPr="008D62C2" w:rsidRDefault="004259E2" w:rsidP="0066677A">
      <w:pPr>
        <w:rPr>
          <w:color w:val="auto"/>
        </w:rPr>
      </w:pPr>
    </w:p>
    <w:p w14:paraId="4A8DEE5B" w14:textId="77777777" w:rsidR="00F304A5" w:rsidRPr="00DA4302" w:rsidRDefault="00F304A5" w:rsidP="00F304A5">
      <w:pPr>
        <w:rPr>
          <w:color w:val="auto"/>
        </w:rPr>
      </w:pPr>
    </w:p>
    <w:p w14:paraId="41FDF05A" w14:textId="77777777" w:rsidR="00F304A5" w:rsidRPr="00DA4302" w:rsidRDefault="00F304A5" w:rsidP="00F304A5">
      <w:pPr>
        <w:rPr>
          <w:color w:val="auto"/>
        </w:rPr>
      </w:pPr>
    </w:p>
    <w:p w14:paraId="45FA77A0" w14:textId="77777777" w:rsidR="00F304A5" w:rsidRPr="00DA4302" w:rsidRDefault="00F304A5" w:rsidP="00F304A5">
      <w:pPr>
        <w:rPr>
          <w:color w:val="auto"/>
        </w:rPr>
      </w:pPr>
    </w:p>
    <w:p w14:paraId="34CC012E" w14:textId="77777777" w:rsidR="00F304A5" w:rsidRPr="00DA4302" w:rsidRDefault="00F304A5" w:rsidP="00F304A5">
      <w:pPr>
        <w:tabs>
          <w:tab w:val="clear" w:pos="454"/>
        </w:tabs>
        <w:rPr>
          <w:color w:val="auto"/>
        </w:rPr>
      </w:pPr>
      <w:r w:rsidRPr="00DA4302">
        <w:rPr>
          <w:color w:val="auto"/>
        </w:rPr>
        <w:br w:type="page"/>
      </w:r>
    </w:p>
    <w:p w14:paraId="11560334" w14:textId="77777777" w:rsidR="00F304A5" w:rsidRPr="00DA4302" w:rsidRDefault="00F304A5" w:rsidP="00B56D11">
      <w:pPr>
        <w:pStyle w:val="Overskrift1"/>
        <w:rPr>
          <w:color w:val="auto"/>
        </w:rPr>
      </w:pPr>
      <w:bookmarkStart w:id="139" w:name="_Toc19280591"/>
      <w:r w:rsidRPr="00DA4302">
        <w:rPr>
          <w:color w:val="auto"/>
        </w:rPr>
        <w:lastRenderedPageBreak/>
        <w:t>Rapportering</w:t>
      </w:r>
      <w:bookmarkEnd w:id="139"/>
    </w:p>
    <w:p w14:paraId="13B71B75" w14:textId="62BB9890" w:rsidR="009B7DB5" w:rsidRPr="00D13D68" w:rsidRDefault="009B7DB5" w:rsidP="009B7DB5">
      <w:pPr>
        <w:pStyle w:val="Opstilling-talellerbogst"/>
        <w:spacing w:before="120"/>
        <w:contextualSpacing w:val="0"/>
        <w:rPr>
          <w:b/>
          <w:noProof/>
          <w:color w:val="auto"/>
          <w:lang w:eastAsia="da-DK"/>
        </w:rPr>
      </w:pPr>
      <w:r w:rsidRPr="00D13D68">
        <w:rPr>
          <w:noProof/>
          <w:color w:val="auto"/>
          <w:lang w:eastAsia="da-DK"/>
        </w:rPr>
        <w:t>Institutionerne afrapporterer én gang årligt, digitalt og samtidig med årsrapporten en opgørelse af henholdsvis driftsposteringer på s</w:t>
      </w:r>
      <w:r w:rsidR="000C6E52">
        <w:rPr>
          <w:noProof/>
          <w:color w:val="auto"/>
          <w:lang w:eastAsia="da-DK"/>
        </w:rPr>
        <w:t>ted, art, delregnskab og formål.</w:t>
      </w:r>
    </w:p>
    <w:p w14:paraId="72A51CE2" w14:textId="77777777" w:rsidR="009B7DB5" w:rsidRPr="00D13D68" w:rsidRDefault="009B7DB5" w:rsidP="009B7DB5">
      <w:pPr>
        <w:pStyle w:val="Opstilling-talellerbogst"/>
        <w:spacing w:before="120"/>
        <w:contextualSpacing w:val="0"/>
        <w:rPr>
          <w:b/>
          <w:noProof/>
          <w:color w:val="auto"/>
          <w:lang w:eastAsia="da-DK"/>
        </w:rPr>
      </w:pPr>
    </w:p>
    <w:p w14:paraId="435211F2" w14:textId="340D9921" w:rsidR="00EC4F9E" w:rsidRPr="004B15B3" w:rsidRDefault="0013204C" w:rsidP="00F304A5">
      <w:pPr>
        <w:rPr>
          <w:color w:val="auto"/>
        </w:rPr>
      </w:pPr>
      <w:r>
        <w:rPr>
          <w:color w:val="auto"/>
        </w:rPr>
        <w:t>Rapporteringen indebærer således i</w:t>
      </w:r>
      <w:r w:rsidR="00EC4F9E" w:rsidRPr="004B15B3">
        <w:rPr>
          <w:color w:val="auto"/>
        </w:rPr>
        <w:t>nstitutionen</w:t>
      </w:r>
      <w:r>
        <w:rPr>
          <w:color w:val="auto"/>
        </w:rPr>
        <w:t>s</w:t>
      </w:r>
      <w:r w:rsidR="00EC4F9E" w:rsidRPr="004B15B3">
        <w:rPr>
          <w:color w:val="auto"/>
        </w:rPr>
        <w:t xml:space="preserve"> </w:t>
      </w:r>
      <w:r w:rsidR="00245120" w:rsidRPr="004B15B3">
        <w:rPr>
          <w:color w:val="auto"/>
        </w:rPr>
        <w:t xml:space="preserve">driftsposteringer </w:t>
      </w:r>
      <w:r w:rsidR="00EC4F9E" w:rsidRPr="004B15B3">
        <w:rPr>
          <w:color w:val="auto"/>
        </w:rPr>
        <w:t xml:space="preserve">aggregeret på </w:t>
      </w:r>
      <w:r w:rsidR="00245120" w:rsidRPr="004B15B3">
        <w:rPr>
          <w:color w:val="auto"/>
        </w:rPr>
        <w:t xml:space="preserve">alle kombinationer af værdier på de fire </w:t>
      </w:r>
      <w:r w:rsidR="00EC4F9E" w:rsidRPr="004B15B3">
        <w:rPr>
          <w:color w:val="auto"/>
        </w:rPr>
        <w:t>obligatoriske dimensioner</w:t>
      </w:r>
      <w:r w:rsidR="00245120" w:rsidRPr="004B15B3">
        <w:rPr>
          <w:color w:val="auto"/>
        </w:rPr>
        <w:t>, dvs. art-delregnskab-sted-formål</w:t>
      </w:r>
      <w:r>
        <w:rPr>
          <w:color w:val="auto"/>
        </w:rPr>
        <w:t>, jf. også kapitel 2-5</w:t>
      </w:r>
      <w:r w:rsidR="00EC4F9E" w:rsidRPr="004B15B3">
        <w:rPr>
          <w:color w:val="auto"/>
        </w:rPr>
        <w:t>.</w:t>
      </w:r>
    </w:p>
    <w:p w14:paraId="3E8756E4" w14:textId="77777777" w:rsidR="00EC4F9E" w:rsidRPr="004B15B3" w:rsidRDefault="00EC4F9E" w:rsidP="00F304A5">
      <w:pPr>
        <w:rPr>
          <w:color w:val="auto"/>
        </w:rPr>
      </w:pPr>
    </w:p>
    <w:p w14:paraId="691D4AD5" w14:textId="3C93593A" w:rsidR="009B7DB5" w:rsidRPr="00210F0B" w:rsidRDefault="0067124A" w:rsidP="009B7DB5">
      <w:pPr>
        <w:pStyle w:val="Opstilling-punkttegn"/>
        <w:numPr>
          <w:ilvl w:val="0"/>
          <w:numId w:val="0"/>
        </w:numPr>
        <w:spacing w:before="120"/>
        <w:contextualSpacing w:val="0"/>
        <w:rPr>
          <w:i/>
          <w:noProof/>
          <w:color w:val="auto"/>
          <w:lang w:eastAsia="da-DK"/>
        </w:rPr>
      </w:pPr>
      <w:r w:rsidRPr="00210F0B">
        <w:rPr>
          <w:i/>
          <w:noProof/>
          <w:color w:val="auto"/>
          <w:highlight w:val="lightGray"/>
          <w:lang w:eastAsia="da-DK"/>
        </w:rPr>
        <w:t>[</w:t>
      </w:r>
      <w:r w:rsidR="009B7DB5" w:rsidRPr="00210F0B">
        <w:rPr>
          <w:i/>
          <w:noProof/>
          <w:color w:val="auto"/>
          <w:highlight w:val="lightGray"/>
          <w:lang w:eastAsia="da-DK"/>
        </w:rPr>
        <w:t>Afrapportering</w:t>
      </w:r>
      <w:r w:rsidRPr="00210F0B">
        <w:rPr>
          <w:i/>
          <w:noProof/>
          <w:color w:val="auto"/>
          <w:highlight w:val="lightGray"/>
          <w:lang w:eastAsia="da-DK"/>
        </w:rPr>
        <w:t xml:space="preserve">sløsningen udarbejdes </w:t>
      </w:r>
      <w:r w:rsidR="00554785" w:rsidRPr="00210F0B">
        <w:rPr>
          <w:i/>
          <w:noProof/>
          <w:color w:val="auto"/>
          <w:highlight w:val="lightGray"/>
          <w:lang w:eastAsia="da-DK"/>
        </w:rPr>
        <w:t>af SIU</w:t>
      </w:r>
      <w:r w:rsidR="000C6E52">
        <w:rPr>
          <w:i/>
          <w:noProof/>
          <w:color w:val="auto"/>
          <w:highlight w:val="lightGray"/>
          <w:lang w:eastAsia="da-DK"/>
        </w:rPr>
        <w:t xml:space="preserve"> i efteråret 2019</w:t>
      </w:r>
      <w:r w:rsidRPr="00210F0B">
        <w:rPr>
          <w:i/>
          <w:noProof/>
          <w:color w:val="auto"/>
          <w:highlight w:val="lightGray"/>
          <w:lang w:eastAsia="da-DK"/>
        </w:rPr>
        <w:t>]</w:t>
      </w:r>
      <w:r w:rsidRPr="00210F0B">
        <w:rPr>
          <w:i/>
          <w:noProof/>
          <w:color w:val="auto"/>
          <w:lang w:eastAsia="da-DK"/>
        </w:rPr>
        <w:t xml:space="preserve"> </w:t>
      </w:r>
    </w:p>
    <w:p w14:paraId="392CC99E" w14:textId="77777777" w:rsidR="009B7DB5" w:rsidRPr="00D13D68" w:rsidRDefault="009B7DB5" w:rsidP="009B7DB5">
      <w:pPr>
        <w:pStyle w:val="Opstilling-punkttegn"/>
        <w:numPr>
          <w:ilvl w:val="0"/>
          <w:numId w:val="0"/>
        </w:numPr>
        <w:spacing w:before="120"/>
        <w:contextualSpacing w:val="0"/>
        <w:rPr>
          <w:noProof/>
          <w:color w:val="auto"/>
          <w:lang w:eastAsia="da-DK"/>
        </w:rPr>
      </w:pPr>
      <w:r w:rsidRPr="00D13D68">
        <w:rPr>
          <w:noProof/>
          <w:color w:val="auto"/>
          <w:lang w:eastAsia="da-DK"/>
        </w:rPr>
        <w:t>Afrapporteringen omfatter:</w:t>
      </w:r>
    </w:p>
    <w:p w14:paraId="063F87F8" w14:textId="77777777" w:rsidR="009B7DB5" w:rsidRPr="00D13D68" w:rsidRDefault="009B7DB5" w:rsidP="00D13D68">
      <w:pPr>
        <w:pStyle w:val="Opstilling-punkttegn"/>
        <w:tabs>
          <w:tab w:val="clear" w:pos="454"/>
        </w:tabs>
        <w:spacing w:after="120"/>
        <w:ind w:left="738" w:hanging="284"/>
        <w:contextualSpacing w:val="0"/>
        <w:rPr>
          <w:noProof/>
          <w:color w:val="auto"/>
          <w:lang w:eastAsia="da-DK"/>
        </w:rPr>
      </w:pPr>
      <w:r w:rsidRPr="00D13D68">
        <w:rPr>
          <w:noProof/>
          <w:color w:val="auto"/>
          <w:lang w:eastAsia="da-DK"/>
        </w:rPr>
        <w:t>Den anvendte registreringsramme for regnskabsåret for så vidt angår dimensionerne art, sted, delregnskab og formål.</w:t>
      </w:r>
    </w:p>
    <w:p w14:paraId="4E4FF934" w14:textId="7A2F7760" w:rsidR="009B7DB5" w:rsidRPr="00D13D68" w:rsidRDefault="009B7DB5" w:rsidP="00D13D68">
      <w:pPr>
        <w:pStyle w:val="Opstilling-punkttegn"/>
        <w:tabs>
          <w:tab w:val="clear" w:pos="454"/>
        </w:tabs>
        <w:spacing w:after="120"/>
        <w:ind w:left="738" w:hanging="284"/>
        <w:contextualSpacing w:val="0"/>
        <w:rPr>
          <w:noProof/>
          <w:color w:val="auto"/>
          <w:lang w:eastAsia="da-DK"/>
        </w:rPr>
      </w:pPr>
      <w:r w:rsidRPr="00D13D68">
        <w:rPr>
          <w:noProof/>
          <w:color w:val="auto"/>
          <w:lang w:eastAsia="da-DK"/>
        </w:rPr>
        <w:t xml:space="preserve">Driftsposteringer aggregeret til alle anvendte kombinationer af dimensionsværdierne for art, sted, delregnskab og formål. </w:t>
      </w:r>
    </w:p>
    <w:p w14:paraId="03367C74" w14:textId="3720F1D3" w:rsidR="00B64A9A" w:rsidRDefault="00210F0B" w:rsidP="00B64A9A">
      <w:pPr>
        <w:pStyle w:val="Opstilling-punkttegn"/>
        <w:spacing w:after="120"/>
        <w:ind w:left="738" w:hanging="284"/>
        <w:contextualSpacing w:val="0"/>
      </w:pPr>
      <w:r>
        <w:rPr>
          <w:noProof/>
          <w:color w:val="auto"/>
          <w:lang w:eastAsia="da-DK"/>
        </w:rPr>
        <w:t>Evt. d</w:t>
      </w:r>
      <w:r w:rsidR="00B64A9A" w:rsidRPr="00D13D68">
        <w:rPr>
          <w:noProof/>
          <w:color w:val="auto"/>
          <w:lang w:eastAsia="da-DK"/>
        </w:rPr>
        <w:t>riftsomkostninger og driftsindtægter opgjort på delformål, idet det direkte statstilskud til institutionerne ikke opgøres på formål eller delformål</w:t>
      </w:r>
      <w:r w:rsidR="00B64A9A">
        <w:t xml:space="preserve">. </w:t>
      </w:r>
    </w:p>
    <w:p w14:paraId="2FF2638B" w14:textId="39DFF0BD" w:rsidR="009B7DB5" w:rsidRDefault="009B7DB5">
      <w:pPr>
        <w:tabs>
          <w:tab w:val="clear" w:pos="454"/>
        </w:tabs>
        <w:rPr>
          <w:color w:val="auto"/>
        </w:rPr>
      </w:pPr>
    </w:p>
    <w:p w14:paraId="00E18FAF" w14:textId="77777777" w:rsidR="00FE19F2" w:rsidRPr="00725EBF" w:rsidRDefault="00D52141" w:rsidP="00D52141">
      <w:pPr>
        <w:pStyle w:val="Overskrift1"/>
        <w:numPr>
          <w:ilvl w:val="0"/>
          <w:numId w:val="0"/>
        </w:numPr>
        <w:ind w:left="-1049"/>
        <w:rPr>
          <w:color w:val="auto"/>
          <w:sz w:val="18"/>
          <w:szCs w:val="18"/>
        </w:rPr>
      </w:pPr>
      <w:bookmarkStart w:id="140" w:name="_Toc19280592"/>
      <w:r>
        <w:rPr>
          <w:color w:val="auto"/>
        </w:rPr>
        <w:lastRenderedPageBreak/>
        <w:t>Bilag 1. Omfattede i</w:t>
      </w:r>
      <w:r w:rsidR="00E22854">
        <w:rPr>
          <w:color w:val="auto"/>
        </w:rPr>
        <w:t>nstitutioner</w:t>
      </w:r>
      <w:bookmarkEnd w:id="140"/>
      <w:r w:rsidR="00E22854" w:rsidRPr="00725EBF">
        <w:rPr>
          <w:color w:val="auto"/>
          <w:sz w:val="18"/>
          <w:szCs w:val="18"/>
        </w:rPr>
        <w:t xml:space="preserve"> </w:t>
      </w:r>
    </w:p>
    <w:tbl>
      <w:tblPr>
        <w:tblW w:w="8861" w:type="dxa"/>
        <w:tblInd w:w="-781" w:type="dxa"/>
        <w:tblCellMar>
          <w:left w:w="70" w:type="dxa"/>
          <w:right w:w="70" w:type="dxa"/>
        </w:tblCellMar>
        <w:tblLook w:val="04A0" w:firstRow="1" w:lastRow="0" w:firstColumn="1" w:lastColumn="0" w:noHBand="0" w:noVBand="1"/>
      </w:tblPr>
      <w:tblGrid>
        <w:gridCol w:w="8861"/>
      </w:tblGrid>
      <w:tr w:rsidR="00C20AF6" w:rsidRPr="00E22854" w14:paraId="3DA70331" w14:textId="77777777" w:rsidTr="00685F71">
        <w:trPr>
          <w:trHeight w:val="227"/>
        </w:trPr>
        <w:tc>
          <w:tcPr>
            <w:tcW w:w="8861" w:type="dxa"/>
            <w:tcBorders>
              <w:top w:val="nil"/>
              <w:left w:val="nil"/>
              <w:bottom w:val="nil"/>
              <w:right w:val="nil"/>
            </w:tcBorders>
            <w:shd w:val="clear" w:color="000000" w:fill="A6A6A6"/>
            <w:vAlign w:val="bottom"/>
            <w:hideMark/>
          </w:tcPr>
          <w:p w14:paraId="05162571" w14:textId="77777777" w:rsidR="00C20AF6" w:rsidRPr="00725EBF" w:rsidRDefault="00C20AF6" w:rsidP="00C20AF6">
            <w:pPr>
              <w:tabs>
                <w:tab w:val="clear" w:pos="454"/>
              </w:tabs>
              <w:spacing w:line="240" w:lineRule="auto"/>
              <w:rPr>
                <w:rFonts w:ascii="Calibri" w:eastAsia="Times New Roman" w:hAnsi="Calibri" w:cs="Calibri"/>
                <w:color w:val="auto"/>
                <w:sz w:val="20"/>
                <w:szCs w:val="20"/>
                <w:lang w:eastAsia="da-DK"/>
              </w:rPr>
            </w:pPr>
            <w:r w:rsidRPr="00725EBF">
              <w:rPr>
                <w:rFonts w:ascii="Calibri" w:eastAsia="Times New Roman" w:hAnsi="Calibri" w:cs="Calibri"/>
                <w:color w:val="auto"/>
                <w:sz w:val="20"/>
                <w:szCs w:val="20"/>
                <w:lang w:eastAsia="da-DK"/>
              </w:rPr>
              <w:t>Universiteter</w:t>
            </w:r>
          </w:p>
        </w:tc>
      </w:tr>
      <w:tr w:rsidR="00C20AF6" w:rsidRPr="00E22854" w14:paraId="643060B4" w14:textId="77777777" w:rsidTr="00685F71">
        <w:trPr>
          <w:trHeight w:val="227"/>
        </w:trPr>
        <w:tc>
          <w:tcPr>
            <w:tcW w:w="8861" w:type="dxa"/>
            <w:tcBorders>
              <w:top w:val="nil"/>
              <w:left w:val="nil"/>
              <w:bottom w:val="nil"/>
              <w:right w:val="nil"/>
            </w:tcBorders>
            <w:shd w:val="clear" w:color="auto" w:fill="auto"/>
            <w:vAlign w:val="bottom"/>
            <w:hideMark/>
          </w:tcPr>
          <w:p w14:paraId="4B324FE8" w14:textId="4E0C2320"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Copenhagen Business School</w:t>
            </w:r>
            <w:r w:rsidR="00685F71">
              <w:rPr>
                <w:rFonts w:ascii="Calibri" w:eastAsia="Times New Roman" w:hAnsi="Calibri" w:cs="Calibri"/>
                <w:color w:val="000000"/>
                <w:sz w:val="20"/>
                <w:szCs w:val="20"/>
                <w:lang w:eastAsia="da-DK"/>
              </w:rPr>
              <w:t xml:space="preserve"> (CBS)</w:t>
            </w:r>
          </w:p>
        </w:tc>
      </w:tr>
      <w:tr w:rsidR="00C20AF6" w:rsidRPr="00E22854" w14:paraId="65FF2A78" w14:textId="77777777" w:rsidTr="00685F71">
        <w:trPr>
          <w:trHeight w:val="227"/>
        </w:trPr>
        <w:tc>
          <w:tcPr>
            <w:tcW w:w="8861" w:type="dxa"/>
            <w:tcBorders>
              <w:top w:val="nil"/>
              <w:left w:val="nil"/>
              <w:bottom w:val="nil"/>
              <w:right w:val="nil"/>
            </w:tcBorders>
            <w:shd w:val="clear" w:color="auto" w:fill="auto"/>
            <w:vAlign w:val="bottom"/>
            <w:hideMark/>
          </w:tcPr>
          <w:p w14:paraId="2EFAC909" w14:textId="7CA837A9"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Danmarks Tekniske Universitet</w:t>
            </w:r>
            <w:r w:rsidR="00685F71">
              <w:rPr>
                <w:rFonts w:ascii="Calibri" w:eastAsia="Times New Roman" w:hAnsi="Calibri" w:cs="Calibri"/>
                <w:color w:val="000000"/>
                <w:sz w:val="20"/>
                <w:szCs w:val="20"/>
                <w:lang w:eastAsia="da-DK"/>
              </w:rPr>
              <w:t xml:space="preserve"> (DTU)</w:t>
            </w:r>
          </w:p>
        </w:tc>
      </w:tr>
      <w:tr w:rsidR="00C20AF6" w:rsidRPr="00E22854" w14:paraId="5A78FEC2" w14:textId="77777777" w:rsidTr="00685F71">
        <w:trPr>
          <w:trHeight w:val="227"/>
        </w:trPr>
        <w:tc>
          <w:tcPr>
            <w:tcW w:w="8861" w:type="dxa"/>
            <w:tcBorders>
              <w:top w:val="nil"/>
              <w:left w:val="nil"/>
              <w:bottom w:val="nil"/>
              <w:right w:val="nil"/>
            </w:tcBorders>
            <w:shd w:val="clear" w:color="auto" w:fill="auto"/>
            <w:vAlign w:val="bottom"/>
            <w:hideMark/>
          </w:tcPr>
          <w:p w14:paraId="090D3362" w14:textId="5F59058D"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IT-Universitet</w:t>
            </w:r>
            <w:r w:rsidR="00685F71">
              <w:rPr>
                <w:rFonts w:ascii="Calibri" w:eastAsia="Times New Roman" w:hAnsi="Calibri" w:cs="Calibri"/>
                <w:color w:val="000000"/>
                <w:sz w:val="20"/>
                <w:szCs w:val="20"/>
                <w:lang w:eastAsia="da-DK"/>
              </w:rPr>
              <w:t xml:space="preserve"> (ITU)</w:t>
            </w:r>
          </w:p>
        </w:tc>
      </w:tr>
      <w:tr w:rsidR="00C20AF6" w:rsidRPr="00E22854" w14:paraId="106B4467" w14:textId="77777777" w:rsidTr="00685F71">
        <w:trPr>
          <w:trHeight w:val="227"/>
        </w:trPr>
        <w:tc>
          <w:tcPr>
            <w:tcW w:w="8861" w:type="dxa"/>
            <w:tcBorders>
              <w:top w:val="nil"/>
              <w:left w:val="nil"/>
              <w:bottom w:val="nil"/>
              <w:right w:val="nil"/>
            </w:tcBorders>
            <w:shd w:val="clear" w:color="auto" w:fill="auto"/>
            <w:vAlign w:val="bottom"/>
            <w:hideMark/>
          </w:tcPr>
          <w:p w14:paraId="6ED22F3E" w14:textId="2117F2AA"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Københavns Universitet</w:t>
            </w:r>
            <w:r w:rsidR="00685F71">
              <w:rPr>
                <w:rFonts w:ascii="Calibri" w:eastAsia="Times New Roman" w:hAnsi="Calibri" w:cs="Calibri"/>
                <w:color w:val="000000"/>
                <w:sz w:val="20"/>
                <w:szCs w:val="20"/>
                <w:lang w:eastAsia="da-DK"/>
              </w:rPr>
              <w:t xml:space="preserve"> (KU)</w:t>
            </w:r>
          </w:p>
        </w:tc>
      </w:tr>
      <w:tr w:rsidR="00C20AF6" w:rsidRPr="00E22854" w14:paraId="752486BD" w14:textId="77777777" w:rsidTr="00685F71">
        <w:trPr>
          <w:trHeight w:val="227"/>
        </w:trPr>
        <w:tc>
          <w:tcPr>
            <w:tcW w:w="8861" w:type="dxa"/>
            <w:tcBorders>
              <w:top w:val="nil"/>
              <w:left w:val="nil"/>
              <w:bottom w:val="nil"/>
              <w:right w:val="nil"/>
            </w:tcBorders>
            <w:shd w:val="clear" w:color="auto" w:fill="auto"/>
            <w:vAlign w:val="bottom"/>
            <w:hideMark/>
          </w:tcPr>
          <w:p w14:paraId="7E2BE607" w14:textId="3821100B"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Roskilde Universitet</w:t>
            </w:r>
            <w:r w:rsidR="00685F71">
              <w:rPr>
                <w:rFonts w:ascii="Calibri" w:eastAsia="Times New Roman" w:hAnsi="Calibri" w:cs="Calibri"/>
                <w:color w:val="000000"/>
                <w:sz w:val="20"/>
                <w:szCs w:val="20"/>
                <w:lang w:eastAsia="da-DK"/>
              </w:rPr>
              <w:t xml:space="preserve"> (RUC)</w:t>
            </w:r>
          </w:p>
        </w:tc>
      </w:tr>
      <w:tr w:rsidR="00C20AF6" w:rsidRPr="00E22854" w14:paraId="01E19F1C" w14:textId="77777777" w:rsidTr="00685F71">
        <w:trPr>
          <w:trHeight w:val="227"/>
        </w:trPr>
        <w:tc>
          <w:tcPr>
            <w:tcW w:w="8861" w:type="dxa"/>
            <w:tcBorders>
              <w:top w:val="nil"/>
              <w:left w:val="nil"/>
              <w:bottom w:val="nil"/>
              <w:right w:val="nil"/>
            </w:tcBorders>
            <w:shd w:val="clear" w:color="auto" w:fill="auto"/>
            <w:vAlign w:val="bottom"/>
            <w:hideMark/>
          </w:tcPr>
          <w:p w14:paraId="1551E597" w14:textId="52E24AF4"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Syddansk Universitet</w:t>
            </w:r>
            <w:r w:rsidR="00685F71">
              <w:rPr>
                <w:rFonts w:ascii="Calibri" w:eastAsia="Times New Roman" w:hAnsi="Calibri" w:cs="Calibri"/>
                <w:color w:val="000000"/>
                <w:sz w:val="20"/>
                <w:szCs w:val="20"/>
                <w:lang w:eastAsia="da-DK"/>
              </w:rPr>
              <w:t xml:space="preserve"> (SDU)</w:t>
            </w:r>
          </w:p>
        </w:tc>
      </w:tr>
      <w:tr w:rsidR="00C20AF6" w:rsidRPr="00E22854" w14:paraId="215F4801" w14:textId="77777777" w:rsidTr="00685F71">
        <w:trPr>
          <w:trHeight w:val="227"/>
        </w:trPr>
        <w:tc>
          <w:tcPr>
            <w:tcW w:w="8861" w:type="dxa"/>
            <w:tcBorders>
              <w:top w:val="nil"/>
              <w:left w:val="nil"/>
              <w:bottom w:val="nil"/>
              <w:right w:val="nil"/>
            </w:tcBorders>
            <w:shd w:val="clear" w:color="auto" w:fill="auto"/>
            <w:vAlign w:val="bottom"/>
            <w:hideMark/>
          </w:tcPr>
          <w:p w14:paraId="47A1B310" w14:textId="3DDAD2CC"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Aalborg Universitet</w:t>
            </w:r>
            <w:r w:rsidR="00685F71">
              <w:rPr>
                <w:rFonts w:ascii="Calibri" w:eastAsia="Times New Roman" w:hAnsi="Calibri" w:cs="Calibri"/>
                <w:color w:val="000000"/>
                <w:sz w:val="20"/>
                <w:szCs w:val="20"/>
                <w:lang w:eastAsia="da-DK"/>
              </w:rPr>
              <w:t xml:space="preserve"> (AAU)</w:t>
            </w:r>
          </w:p>
        </w:tc>
      </w:tr>
      <w:tr w:rsidR="00C20AF6" w:rsidRPr="00E22854" w14:paraId="1ECB3B53" w14:textId="77777777" w:rsidTr="00685F71">
        <w:trPr>
          <w:trHeight w:val="227"/>
        </w:trPr>
        <w:tc>
          <w:tcPr>
            <w:tcW w:w="8861" w:type="dxa"/>
            <w:tcBorders>
              <w:top w:val="nil"/>
              <w:left w:val="nil"/>
              <w:bottom w:val="nil"/>
              <w:right w:val="nil"/>
            </w:tcBorders>
            <w:shd w:val="clear" w:color="auto" w:fill="auto"/>
            <w:vAlign w:val="bottom"/>
            <w:hideMark/>
          </w:tcPr>
          <w:p w14:paraId="5F5A1B03" w14:textId="19D8F4FD"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Aarhus Universitet</w:t>
            </w:r>
            <w:r w:rsidR="00685F71">
              <w:rPr>
                <w:rFonts w:ascii="Calibri" w:eastAsia="Times New Roman" w:hAnsi="Calibri" w:cs="Calibri"/>
                <w:color w:val="000000"/>
                <w:sz w:val="20"/>
                <w:szCs w:val="20"/>
                <w:lang w:eastAsia="da-DK"/>
              </w:rPr>
              <w:t>(AU)</w:t>
            </w:r>
          </w:p>
        </w:tc>
      </w:tr>
      <w:tr w:rsidR="00C20AF6" w:rsidRPr="00E22854" w14:paraId="4A110E90" w14:textId="77777777" w:rsidTr="00685F71">
        <w:trPr>
          <w:trHeight w:val="227"/>
        </w:trPr>
        <w:tc>
          <w:tcPr>
            <w:tcW w:w="8861" w:type="dxa"/>
            <w:tcBorders>
              <w:top w:val="nil"/>
              <w:left w:val="nil"/>
              <w:bottom w:val="nil"/>
              <w:right w:val="nil"/>
            </w:tcBorders>
            <w:shd w:val="clear" w:color="000000" w:fill="A6A6A6"/>
            <w:vAlign w:val="bottom"/>
            <w:hideMark/>
          </w:tcPr>
          <w:p w14:paraId="4679CF43" w14:textId="77777777" w:rsidR="00C20AF6" w:rsidRPr="00725EBF" w:rsidRDefault="00C20AF6" w:rsidP="00C20AF6">
            <w:pPr>
              <w:tabs>
                <w:tab w:val="clear" w:pos="454"/>
              </w:tabs>
              <w:spacing w:line="240" w:lineRule="auto"/>
              <w:rPr>
                <w:rFonts w:ascii="Calibri" w:eastAsia="Times New Roman" w:hAnsi="Calibri" w:cs="Calibri"/>
                <w:color w:val="auto"/>
                <w:sz w:val="20"/>
                <w:szCs w:val="20"/>
                <w:lang w:eastAsia="da-DK"/>
              </w:rPr>
            </w:pPr>
            <w:r w:rsidRPr="00725EBF">
              <w:rPr>
                <w:rFonts w:ascii="Calibri" w:eastAsia="Times New Roman" w:hAnsi="Calibri" w:cs="Calibri"/>
                <w:color w:val="auto"/>
                <w:sz w:val="20"/>
                <w:szCs w:val="20"/>
                <w:lang w:eastAsia="da-DK"/>
              </w:rPr>
              <w:t>Kunstneriske uddannelser</w:t>
            </w:r>
          </w:p>
        </w:tc>
      </w:tr>
      <w:tr w:rsidR="00C20AF6" w:rsidRPr="00E22854" w14:paraId="430D2491" w14:textId="77777777" w:rsidTr="00685F71">
        <w:trPr>
          <w:trHeight w:val="227"/>
        </w:trPr>
        <w:tc>
          <w:tcPr>
            <w:tcW w:w="8861" w:type="dxa"/>
            <w:tcBorders>
              <w:top w:val="nil"/>
              <w:left w:val="nil"/>
              <w:bottom w:val="nil"/>
              <w:right w:val="nil"/>
            </w:tcBorders>
            <w:shd w:val="clear" w:color="auto" w:fill="auto"/>
            <w:vAlign w:val="bottom"/>
            <w:hideMark/>
          </w:tcPr>
          <w:p w14:paraId="0B688042" w14:textId="17C8CF1A"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Arkitektskolen Aarhus</w:t>
            </w:r>
            <w:r w:rsidR="00685F71">
              <w:rPr>
                <w:rFonts w:ascii="Calibri" w:eastAsia="Times New Roman" w:hAnsi="Calibri" w:cs="Calibri"/>
                <w:color w:val="000000"/>
                <w:sz w:val="20"/>
                <w:szCs w:val="20"/>
                <w:lang w:eastAsia="da-DK"/>
              </w:rPr>
              <w:t xml:space="preserve"> (AAA)</w:t>
            </w:r>
          </w:p>
        </w:tc>
      </w:tr>
      <w:tr w:rsidR="00C20AF6" w:rsidRPr="00E22854" w14:paraId="4B1AFDD1" w14:textId="77777777" w:rsidTr="00685F71">
        <w:trPr>
          <w:trHeight w:val="227"/>
        </w:trPr>
        <w:tc>
          <w:tcPr>
            <w:tcW w:w="8861" w:type="dxa"/>
            <w:tcBorders>
              <w:top w:val="nil"/>
              <w:left w:val="nil"/>
              <w:bottom w:val="nil"/>
              <w:right w:val="nil"/>
            </w:tcBorders>
            <w:shd w:val="clear" w:color="auto" w:fill="auto"/>
            <w:vAlign w:val="bottom"/>
            <w:hideMark/>
          </w:tcPr>
          <w:p w14:paraId="6A40982E" w14:textId="0F54E723"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Designskolen Kolding</w:t>
            </w:r>
            <w:r w:rsidR="00685F71">
              <w:rPr>
                <w:rFonts w:ascii="Calibri" w:eastAsia="Times New Roman" w:hAnsi="Calibri" w:cs="Calibri"/>
                <w:color w:val="000000"/>
                <w:sz w:val="20"/>
                <w:szCs w:val="20"/>
                <w:lang w:eastAsia="da-DK"/>
              </w:rPr>
              <w:t xml:space="preserve"> (DSKD)</w:t>
            </w:r>
          </w:p>
        </w:tc>
      </w:tr>
      <w:tr w:rsidR="00C20AF6" w:rsidRPr="00E22854" w14:paraId="32E759FA" w14:textId="77777777" w:rsidTr="00685F71">
        <w:trPr>
          <w:trHeight w:val="227"/>
        </w:trPr>
        <w:tc>
          <w:tcPr>
            <w:tcW w:w="8861" w:type="dxa"/>
            <w:tcBorders>
              <w:top w:val="nil"/>
              <w:left w:val="nil"/>
              <w:bottom w:val="nil"/>
              <w:right w:val="nil"/>
            </w:tcBorders>
            <w:shd w:val="clear" w:color="auto" w:fill="auto"/>
            <w:vAlign w:val="bottom"/>
            <w:hideMark/>
          </w:tcPr>
          <w:p w14:paraId="65882459" w14:textId="12AB6EEA"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Det Kongelige Danske Kunstakademis Skoler for Ark</w:t>
            </w:r>
            <w:r w:rsidR="00685F71">
              <w:rPr>
                <w:rFonts w:ascii="Calibri" w:eastAsia="Times New Roman" w:hAnsi="Calibri" w:cs="Calibri"/>
                <w:color w:val="000000"/>
                <w:sz w:val="20"/>
                <w:szCs w:val="20"/>
                <w:lang w:eastAsia="da-DK"/>
              </w:rPr>
              <w:t>itektur, Design og Konservering (KADK)</w:t>
            </w:r>
          </w:p>
        </w:tc>
      </w:tr>
      <w:tr w:rsidR="00C20AF6" w:rsidRPr="00E22854" w14:paraId="36369954" w14:textId="77777777" w:rsidTr="00685F71">
        <w:trPr>
          <w:trHeight w:val="227"/>
        </w:trPr>
        <w:tc>
          <w:tcPr>
            <w:tcW w:w="8861" w:type="dxa"/>
            <w:tcBorders>
              <w:top w:val="nil"/>
              <w:left w:val="nil"/>
              <w:bottom w:val="nil"/>
              <w:right w:val="nil"/>
            </w:tcBorders>
            <w:shd w:val="clear" w:color="000000" w:fill="A6A6A6"/>
            <w:vAlign w:val="bottom"/>
            <w:hideMark/>
          </w:tcPr>
          <w:p w14:paraId="3E64A5BA" w14:textId="6F9C8A24" w:rsidR="00C20AF6" w:rsidRPr="00725EBF" w:rsidRDefault="00C20AF6" w:rsidP="00F96FC5">
            <w:pPr>
              <w:tabs>
                <w:tab w:val="clear" w:pos="454"/>
              </w:tabs>
              <w:spacing w:line="240" w:lineRule="auto"/>
              <w:rPr>
                <w:rFonts w:ascii="Calibri" w:eastAsia="Times New Roman" w:hAnsi="Calibri" w:cs="Calibri"/>
                <w:color w:val="auto"/>
                <w:sz w:val="20"/>
                <w:szCs w:val="20"/>
                <w:lang w:eastAsia="da-DK"/>
              </w:rPr>
            </w:pPr>
            <w:r w:rsidRPr="00725EBF">
              <w:rPr>
                <w:rFonts w:ascii="Calibri" w:eastAsia="Times New Roman" w:hAnsi="Calibri" w:cs="Calibri"/>
                <w:color w:val="auto"/>
                <w:sz w:val="20"/>
                <w:szCs w:val="20"/>
                <w:lang w:eastAsia="da-DK"/>
              </w:rPr>
              <w:t>Professionshøjskoler</w:t>
            </w:r>
          </w:p>
        </w:tc>
      </w:tr>
      <w:tr w:rsidR="00C20AF6" w:rsidRPr="00E22854" w14:paraId="3D308F3F" w14:textId="77777777" w:rsidTr="00685F71">
        <w:trPr>
          <w:trHeight w:val="227"/>
        </w:trPr>
        <w:tc>
          <w:tcPr>
            <w:tcW w:w="8861" w:type="dxa"/>
            <w:tcBorders>
              <w:top w:val="nil"/>
              <w:left w:val="nil"/>
              <w:bottom w:val="nil"/>
              <w:right w:val="nil"/>
            </w:tcBorders>
            <w:shd w:val="clear" w:color="auto" w:fill="auto"/>
            <w:vAlign w:val="bottom"/>
            <w:hideMark/>
          </w:tcPr>
          <w:p w14:paraId="67A4ED4D" w14:textId="6A8EA19C"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Danmarks Medie- og Journalisthøjskole</w:t>
            </w:r>
            <w:r w:rsidR="00685F71">
              <w:rPr>
                <w:rFonts w:ascii="Calibri" w:eastAsia="Times New Roman" w:hAnsi="Calibri" w:cs="Calibri"/>
                <w:color w:val="000000"/>
                <w:sz w:val="20"/>
                <w:szCs w:val="20"/>
                <w:lang w:eastAsia="da-DK"/>
              </w:rPr>
              <w:t xml:space="preserve"> (DMJX)</w:t>
            </w:r>
          </w:p>
        </w:tc>
      </w:tr>
      <w:tr w:rsidR="00C20AF6" w:rsidRPr="00E22854" w14:paraId="53E5DD4A" w14:textId="77777777" w:rsidTr="00685F71">
        <w:trPr>
          <w:trHeight w:val="227"/>
        </w:trPr>
        <w:tc>
          <w:tcPr>
            <w:tcW w:w="8861" w:type="dxa"/>
            <w:tcBorders>
              <w:top w:val="nil"/>
              <w:left w:val="nil"/>
              <w:bottom w:val="nil"/>
              <w:right w:val="nil"/>
            </w:tcBorders>
            <w:shd w:val="clear" w:color="auto" w:fill="auto"/>
            <w:vAlign w:val="bottom"/>
            <w:hideMark/>
          </w:tcPr>
          <w:p w14:paraId="0AF4296C" w14:textId="2BE50609"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Københavns Professionshøjskole</w:t>
            </w:r>
            <w:r w:rsidR="00685F71">
              <w:rPr>
                <w:rFonts w:ascii="Calibri" w:eastAsia="Times New Roman" w:hAnsi="Calibri" w:cs="Calibri"/>
                <w:color w:val="000000"/>
                <w:sz w:val="20"/>
                <w:szCs w:val="20"/>
                <w:lang w:eastAsia="da-DK"/>
              </w:rPr>
              <w:t xml:space="preserve"> (KP)</w:t>
            </w:r>
          </w:p>
        </w:tc>
      </w:tr>
      <w:tr w:rsidR="00C20AF6" w:rsidRPr="00E22854" w14:paraId="77B0D948" w14:textId="77777777" w:rsidTr="00685F71">
        <w:trPr>
          <w:trHeight w:val="227"/>
        </w:trPr>
        <w:tc>
          <w:tcPr>
            <w:tcW w:w="8861" w:type="dxa"/>
            <w:tcBorders>
              <w:top w:val="nil"/>
              <w:left w:val="nil"/>
              <w:bottom w:val="nil"/>
              <w:right w:val="nil"/>
            </w:tcBorders>
            <w:shd w:val="clear" w:color="auto" w:fill="auto"/>
            <w:vAlign w:val="bottom"/>
            <w:hideMark/>
          </w:tcPr>
          <w:p w14:paraId="34673D8B" w14:textId="4CAAA6D1" w:rsidR="00C20AF6" w:rsidRPr="00725EBF" w:rsidRDefault="00C20AF6" w:rsidP="00685F71">
            <w:pPr>
              <w:tabs>
                <w:tab w:val="clear" w:pos="454"/>
              </w:tabs>
              <w:spacing w:line="240" w:lineRule="auto"/>
              <w:rPr>
                <w:rFonts w:ascii="Calibri" w:eastAsia="Times New Roman" w:hAnsi="Calibri" w:cs="Calibri"/>
                <w:color w:val="000000"/>
                <w:sz w:val="20"/>
                <w:szCs w:val="20"/>
                <w:lang w:eastAsia="da-DK"/>
              </w:rPr>
            </w:pPr>
            <w:proofErr w:type="spellStart"/>
            <w:r w:rsidRPr="00725EBF">
              <w:rPr>
                <w:rFonts w:ascii="Calibri" w:eastAsia="Times New Roman" w:hAnsi="Calibri" w:cs="Calibri"/>
                <w:color w:val="000000"/>
                <w:sz w:val="20"/>
                <w:szCs w:val="20"/>
                <w:lang w:eastAsia="da-DK"/>
              </w:rPr>
              <w:t>University</w:t>
            </w:r>
            <w:proofErr w:type="spellEnd"/>
            <w:r w:rsidRPr="00725EBF">
              <w:rPr>
                <w:rFonts w:ascii="Calibri" w:eastAsia="Times New Roman" w:hAnsi="Calibri" w:cs="Calibri"/>
                <w:color w:val="000000"/>
                <w:sz w:val="20"/>
                <w:szCs w:val="20"/>
                <w:lang w:eastAsia="da-DK"/>
              </w:rPr>
              <w:t xml:space="preserve"> College Lillebælt</w:t>
            </w:r>
            <w:r w:rsidR="00685F71">
              <w:rPr>
                <w:rFonts w:ascii="Calibri" w:eastAsia="Times New Roman" w:hAnsi="Calibri" w:cs="Calibri"/>
                <w:color w:val="000000"/>
                <w:sz w:val="20"/>
                <w:szCs w:val="20"/>
                <w:lang w:eastAsia="da-DK"/>
              </w:rPr>
              <w:t xml:space="preserve"> (UCL)</w:t>
            </w:r>
          </w:p>
        </w:tc>
      </w:tr>
      <w:tr w:rsidR="00C20AF6" w:rsidRPr="00E22854" w14:paraId="68F8DE8D" w14:textId="77777777" w:rsidTr="00685F71">
        <w:trPr>
          <w:trHeight w:val="227"/>
        </w:trPr>
        <w:tc>
          <w:tcPr>
            <w:tcW w:w="8861" w:type="dxa"/>
            <w:tcBorders>
              <w:top w:val="nil"/>
              <w:left w:val="nil"/>
              <w:bottom w:val="nil"/>
              <w:right w:val="nil"/>
            </w:tcBorders>
            <w:shd w:val="clear" w:color="auto" w:fill="auto"/>
            <w:vAlign w:val="bottom"/>
            <w:hideMark/>
          </w:tcPr>
          <w:p w14:paraId="568C8C8D" w14:textId="2B5DF213"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proofErr w:type="spellStart"/>
            <w:r w:rsidRPr="00725EBF">
              <w:rPr>
                <w:rFonts w:ascii="Calibri" w:eastAsia="Times New Roman" w:hAnsi="Calibri" w:cs="Calibri"/>
                <w:color w:val="000000"/>
                <w:sz w:val="20"/>
                <w:szCs w:val="20"/>
                <w:lang w:eastAsia="da-DK"/>
              </w:rPr>
              <w:t>University</w:t>
            </w:r>
            <w:proofErr w:type="spellEnd"/>
            <w:r w:rsidRPr="00725EBF">
              <w:rPr>
                <w:rFonts w:ascii="Calibri" w:eastAsia="Times New Roman" w:hAnsi="Calibri" w:cs="Calibri"/>
                <w:color w:val="000000"/>
                <w:sz w:val="20"/>
                <w:szCs w:val="20"/>
                <w:lang w:eastAsia="da-DK"/>
              </w:rPr>
              <w:t xml:space="preserve"> College Nordjylland</w:t>
            </w:r>
            <w:r w:rsidR="00685F71">
              <w:rPr>
                <w:rFonts w:ascii="Calibri" w:eastAsia="Times New Roman" w:hAnsi="Calibri" w:cs="Calibri"/>
                <w:color w:val="000000"/>
                <w:sz w:val="20"/>
                <w:szCs w:val="20"/>
                <w:lang w:eastAsia="da-DK"/>
              </w:rPr>
              <w:t>(UCN)</w:t>
            </w:r>
          </w:p>
        </w:tc>
      </w:tr>
      <w:tr w:rsidR="00C20AF6" w:rsidRPr="00E22854" w14:paraId="506D9581" w14:textId="77777777" w:rsidTr="00685F71">
        <w:trPr>
          <w:trHeight w:val="227"/>
        </w:trPr>
        <w:tc>
          <w:tcPr>
            <w:tcW w:w="8861" w:type="dxa"/>
            <w:tcBorders>
              <w:top w:val="nil"/>
              <w:left w:val="nil"/>
              <w:bottom w:val="nil"/>
              <w:right w:val="nil"/>
            </w:tcBorders>
            <w:shd w:val="clear" w:color="auto" w:fill="auto"/>
            <w:vAlign w:val="bottom"/>
            <w:hideMark/>
          </w:tcPr>
          <w:p w14:paraId="2E7EC58E" w14:textId="6E9BA84A"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Professionshøjskolen Absalon</w:t>
            </w:r>
            <w:r w:rsidR="00685F71">
              <w:rPr>
                <w:rFonts w:ascii="Calibri" w:eastAsia="Times New Roman" w:hAnsi="Calibri" w:cs="Calibri"/>
                <w:color w:val="000000"/>
                <w:sz w:val="20"/>
                <w:szCs w:val="20"/>
                <w:lang w:eastAsia="da-DK"/>
              </w:rPr>
              <w:t xml:space="preserve"> (UCSJ)</w:t>
            </w:r>
          </w:p>
        </w:tc>
      </w:tr>
      <w:tr w:rsidR="00C20AF6" w:rsidRPr="00E22854" w14:paraId="72D773A8" w14:textId="77777777" w:rsidTr="00685F71">
        <w:trPr>
          <w:trHeight w:val="227"/>
        </w:trPr>
        <w:tc>
          <w:tcPr>
            <w:tcW w:w="8861" w:type="dxa"/>
            <w:tcBorders>
              <w:top w:val="nil"/>
              <w:left w:val="nil"/>
              <w:bottom w:val="nil"/>
              <w:right w:val="nil"/>
            </w:tcBorders>
            <w:shd w:val="clear" w:color="auto" w:fill="auto"/>
            <w:vAlign w:val="bottom"/>
            <w:hideMark/>
          </w:tcPr>
          <w:p w14:paraId="170D4331" w14:textId="0C24BB95"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proofErr w:type="spellStart"/>
            <w:r w:rsidRPr="00725EBF">
              <w:rPr>
                <w:rFonts w:ascii="Calibri" w:eastAsia="Times New Roman" w:hAnsi="Calibri" w:cs="Calibri"/>
                <w:color w:val="000000"/>
                <w:sz w:val="20"/>
                <w:szCs w:val="20"/>
                <w:lang w:eastAsia="da-DK"/>
              </w:rPr>
              <w:t>University</w:t>
            </w:r>
            <w:proofErr w:type="spellEnd"/>
            <w:r w:rsidRPr="00725EBF">
              <w:rPr>
                <w:rFonts w:ascii="Calibri" w:eastAsia="Times New Roman" w:hAnsi="Calibri" w:cs="Calibri"/>
                <w:color w:val="000000"/>
                <w:sz w:val="20"/>
                <w:szCs w:val="20"/>
                <w:lang w:eastAsia="da-DK"/>
              </w:rPr>
              <w:t xml:space="preserve"> College Syddanmark</w:t>
            </w:r>
            <w:r w:rsidR="00685F71">
              <w:rPr>
                <w:rFonts w:ascii="Calibri" w:eastAsia="Times New Roman" w:hAnsi="Calibri" w:cs="Calibri"/>
                <w:color w:val="000000"/>
                <w:sz w:val="20"/>
                <w:szCs w:val="20"/>
                <w:lang w:eastAsia="da-DK"/>
              </w:rPr>
              <w:t xml:space="preserve"> (UCSYD)</w:t>
            </w:r>
          </w:p>
        </w:tc>
      </w:tr>
      <w:tr w:rsidR="00C20AF6" w:rsidRPr="00E22854" w14:paraId="2A481868" w14:textId="77777777" w:rsidTr="00685F71">
        <w:trPr>
          <w:trHeight w:val="227"/>
        </w:trPr>
        <w:tc>
          <w:tcPr>
            <w:tcW w:w="8861" w:type="dxa"/>
            <w:tcBorders>
              <w:top w:val="nil"/>
              <w:left w:val="nil"/>
              <w:bottom w:val="nil"/>
              <w:right w:val="nil"/>
            </w:tcBorders>
            <w:shd w:val="clear" w:color="auto" w:fill="auto"/>
            <w:vAlign w:val="bottom"/>
            <w:hideMark/>
          </w:tcPr>
          <w:p w14:paraId="4E7CF176" w14:textId="56167673" w:rsidR="00C20AF6" w:rsidRPr="00725EBF" w:rsidRDefault="00C20AF6" w:rsidP="00C20AF6">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 xml:space="preserve">VIA </w:t>
            </w:r>
            <w:proofErr w:type="spellStart"/>
            <w:r w:rsidRPr="00725EBF">
              <w:rPr>
                <w:rFonts w:ascii="Calibri" w:eastAsia="Times New Roman" w:hAnsi="Calibri" w:cs="Calibri"/>
                <w:color w:val="000000"/>
                <w:sz w:val="20"/>
                <w:szCs w:val="20"/>
                <w:lang w:eastAsia="da-DK"/>
              </w:rPr>
              <w:t>University</w:t>
            </w:r>
            <w:proofErr w:type="spellEnd"/>
            <w:r w:rsidRPr="00725EBF">
              <w:rPr>
                <w:rFonts w:ascii="Calibri" w:eastAsia="Times New Roman" w:hAnsi="Calibri" w:cs="Calibri"/>
                <w:color w:val="000000"/>
                <w:sz w:val="20"/>
                <w:szCs w:val="20"/>
                <w:lang w:eastAsia="da-DK"/>
              </w:rPr>
              <w:t xml:space="preserve"> College</w:t>
            </w:r>
            <w:r w:rsidR="00685F71">
              <w:rPr>
                <w:rFonts w:ascii="Calibri" w:eastAsia="Times New Roman" w:hAnsi="Calibri" w:cs="Calibri"/>
                <w:color w:val="000000"/>
                <w:sz w:val="20"/>
                <w:szCs w:val="20"/>
                <w:lang w:eastAsia="da-DK"/>
              </w:rPr>
              <w:t xml:space="preserve"> (VIA)</w:t>
            </w:r>
          </w:p>
        </w:tc>
      </w:tr>
      <w:tr w:rsidR="00C20AF6" w:rsidRPr="00E22854" w14:paraId="0A51C9B1" w14:textId="77777777" w:rsidTr="00685F71">
        <w:trPr>
          <w:trHeight w:val="227"/>
        </w:trPr>
        <w:tc>
          <w:tcPr>
            <w:tcW w:w="8861" w:type="dxa"/>
            <w:tcBorders>
              <w:top w:val="nil"/>
              <w:left w:val="nil"/>
              <w:bottom w:val="nil"/>
              <w:right w:val="nil"/>
            </w:tcBorders>
            <w:shd w:val="clear" w:color="000000" w:fill="A6A6A6"/>
            <w:vAlign w:val="bottom"/>
          </w:tcPr>
          <w:p w14:paraId="6EE60B70" w14:textId="689AB6D1" w:rsidR="00C20AF6" w:rsidRPr="00725EBF" w:rsidRDefault="00C20AF6" w:rsidP="00F96FC5">
            <w:pPr>
              <w:tabs>
                <w:tab w:val="clear" w:pos="454"/>
              </w:tabs>
              <w:spacing w:line="240" w:lineRule="auto"/>
              <w:rPr>
                <w:rFonts w:ascii="Calibri" w:eastAsia="Times New Roman" w:hAnsi="Calibri" w:cs="Calibri"/>
                <w:color w:val="auto"/>
                <w:sz w:val="18"/>
                <w:szCs w:val="18"/>
                <w:lang w:eastAsia="da-DK"/>
              </w:rPr>
            </w:pPr>
            <w:r w:rsidRPr="00725EBF">
              <w:rPr>
                <w:rFonts w:ascii="Calibri" w:eastAsia="Times New Roman" w:hAnsi="Calibri" w:cs="Calibri"/>
                <w:color w:val="auto"/>
                <w:sz w:val="18"/>
                <w:szCs w:val="18"/>
                <w:lang w:eastAsia="da-DK"/>
              </w:rPr>
              <w:t>Erhvervsakademier</w:t>
            </w:r>
          </w:p>
        </w:tc>
      </w:tr>
      <w:tr w:rsidR="00FE19F2" w:rsidRPr="00E22854" w14:paraId="0DF68E7C" w14:textId="77777777" w:rsidTr="00685F71">
        <w:trPr>
          <w:trHeight w:val="227"/>
        </w:trPr>
        <w:tc>
          <w:tcPr>
            <w:tcW w:w="8861" w:type="dxa"/>
            <w:tcBorders>
              <w:top w:val="nil"/>
              <w:left w:val="nil"/>
              <w:bottom w:val="nil"/>
              <w:right w:val="nil"/>
            </w:tcBorders>
            <w:shd w:val="clear" w:color="auto" w:fill="auto"/>
            <w:vAlign w:val="bottom"/>
            <w:hideMark/>
          </w:tcPr>
          <w:p w14:paraId="387C2725" w14:textId="4E000A15"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Erhvervsakademi Dania</w:t>
            </w:r>
            <w:r w:rsidR="00685F71">
              <w:rPr>
                <w:rFonts w:ascii="Calibri" w:eastAsia="Times New Roman" w:hAnsi="Calibri" w:cs="Calibri"/>
                <w:color w:val="000000"/>
                <w:sz w:val="20"/>
                <w:szCs w:val="20"/>
                <w:lang w:eastAsia="da-DK"/>
              </w:rPr>
              <w:t xml:space="preserve"> (</w:t>
            </w:r>
            <w:proofErr w:type="spellStart"/>
            <w:r w:rsidR="00685F71">
              <w:rPr>
                <w:rFonts w:ascii="Calibri" w:eastAsia="Times New Roman" w:hAnsi="Calibri" w:cs="Calibri"/>
                <w:color w:val="000000"/>
                <w:sz w:val="20"/>
                <w:szCs w:val="20"/>
                <w:lang w:eastAsia="da-DK"/>
              </w:rPr>
              <w:t>EADania</w:t>
            </w:r>
            <w:proofErr w:type="spellEnd"/>
            <w:r w:rsidR="00685F71">
              <w:rPr>
                <w:rFonts w:ascii="Calibri" w:eastAsia="Times New Roman" w:hAnsi="Calibri" w:cs="Calibri"/>
                <w:color w:val="000000"/>
                <w:sz w:val="20"/>
                <w:szCs w:val="20"/>
                <w:lang w:eastAsia="da-DK"/>
              </w:rPr>
              <w:t>)</w:t>
            </w:r>
          </w:p>
        </w:tc>
      </w:tr>
      <w:tr w:rsidR="00FE19F2" w:rsidRPr="00E22854" w14:paraId="0C0F1008" w14:textId="77777777" w:rsidTr="00685F71">
        <w:trPr>
          <w:trHeight w:val="227"/>
        </w:trPr>
        <w:tc>
          <w:tcPr>
            <w:tcW w:w="8861" w:type="dxa"/>
            <w:tcBorders>
              <w:top w:val="nil"/>
              <w:left w:val="nil"/>
              <w:bottom w:val="nil"/>
              <w:right w:val="nil"/>
            </w:tcBorders>
            <w:shd w:val="clear" w:color="auto" w:fill="auto"/>
            <w:vAlign w:val="bottom"/>
            <w:hideMark/>
          </w:tcPr>
          <w:p w14:paraId="46C4EEEF" w14:textId="45499536"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Erhvervsakademi Kolding</w:t>
            </w:r>
            <w:r w:rsidR="00685F71">
              <w:rPr>
                <w:rFonts w:ascii="Calibri" w:eastAsia="Times New Roman" w:hAnsi="Calibri" w:cs="Calibri"/>
                <w:color w:val="000000"/>
                <w:sz w:val="20"/>
                <w:szCs w:val="20"/>
                <w:lang w:eastAsia="da-DK"/>
              </w:rPr>
              <w:t xml:space="preserve"> (IBA)</w:t>
            </w:r>
          </w:p>
        </w:tc>
      </w:tr>
      <w:tr w:rsidR="00FE19F2" w:rsidRPr="00E22854" w14:paraId="0898E0A0" w14:textId="77777777" w:rsidTr="00685F71">
        <w:trPr>
          <w:trHeight w:val="227"/>
        </w:trPr>
        <w:tc>
          <w:tcPr>
            <w:tcW w:w="8861" w:type="dxa"/>
            <w:tcBorders>
              <w:top w:val="nil"/>
              <w:left w:val="nil"/>
              <w:bottom w:val="nil"/>
              <w:right w:val="nil"/>
            </w:tcBorders>
            <w:shd w:val="clear" w:color="auto" w:fill="auto"/>
            <w:vAlign w:val="bottom"/>
            <w:hideMark/>
          </w:tcPr>
          <w:p w14:paraId="38E6C824" w14:textId="56EE95A0"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 xml:space="preserve">Erhvervsakademi </w:t>
            </w:r>
            <w:proofErr w:type="spellStart"/>
            <w:r w:rsidRPr="00725EBF">
              <w:rPr>
                <w:rFonts w:ascii="Calibri" w:eastAsia="Times New Roman" w:hAnsi="Calibri" w:cs="Calibri"/>
                <w:color w:val="000000"/>
                <w:sz w:val="20"/>
                <w:szCs w:val="20"/>
                <w:lang w:eastAsia="da-DK"/>
              </w:rPr>
              <w:t>MidtVest</w:t>
            </w:r>
            <w:proofErr w:type="spellEnd"/>
            <w:r w:rsidR="00685F71">
              <w:rPr>
                <w:rFonts w:ascii="Calibri" w:eastAsia="Times New Roman" w:hAnsi="Calibri" w:cs="Calibri"/>
                <w:color w:val="000000"/>
                <w:sz w:val="20"/>
                <w:szCs w:val="20"/>
                <w:lang w:eastAsia="da-DK"/>
              </w:rPr>
              <w:t xml:space="preserve"> (EAMV)</w:t>
            </w:r>
          </w:p>
        </w:tc>
      </w:tr>
      <w:tr w:rsidR="00FE19F2" w:rsidRPr="00E22854" w14:paraId="29979B92" w14:textId="77777777" w:rsidTr="00685F71">
        <w:trPr>
          <w:trHeight w:val="227"/>
        </w:trPr>
        <w:tc>
          <w:tcPr>
            <w:tcW w:w="8861" w:type="dxa"/>
            <w:tcBorders>
              <w:top w:val="nil"/>
              <w:left w:val="nil"/>
              <w:bottom w:val="nil"/>
              <w:right w:val="nil"/>
            </w:tcBorders>
            <w:shd w:val="clear" w:color="auto" w:fill="auto"/>
            <w:vAlign w:val="bottom"/>
            <w:hideMark/>
          </w:tcPr>
          <w:p w14:paraId="6BEE21E7" w14:textId="258AF129"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Erhvervsakademi Sjælland</w:t>
            </w:r>
            <w:r w:rsidR="00685F71">
              <w:rPr>
                <w:rFonts w:ascii="Calibri" w:eastAsia="Times New Roman" w:hAnsi="Calibri" w:cs="Calibri"/>
                <w:color w:val="000000"/>
                <w:sz w:val="20"/>
                <w:szCs w:val="20"/>
                <w:lang w:eastAsia="da-DK"/>
              </w:rPr>
              <w:t xml:space="preserve"> (EASJ)</w:t>
            </w:r>
          </w:p>
        </w:tc>
      </w:tr>
      <w:tr w:rsidR="00FE19F2" w:rsidRPr="00E22854" w14:paraId="582D966D" w14:textId="77777777" w:rsidTr="00685F71">
        <w:trPr>
          <w:trHeight w:val="227"/>
        </w:trPr>
        <w:tc>
          <w:tcPr>
            <w:tcW w:w="8861" w:type="dxa"/>
            <w:tcBorders>
              <w:top w:val="nil"/>
              <w:left w:val="nil"/>
              <w:bottom w:val="nil"/>
              <w:right w:val="nil"/>
            </w:tcBorders>
            <w:shd w:val="clear" w:color="auto" w:fill="auto"/>
            <w:vAlign w:val="bottom"/>
            <w:hideMark/>
          </w:tcPr>
          <w:p w14:paraId="3838053C" w14:textId="7052A4A6"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 xml:space="preserve">Erhvervsakademi </w:t>
            </w:r>
            <w:proofErr w:type="spellStart"/>
            <w:r w:rsidRPr="00725EBF">
              <w:rPr>
                <w:rFonts w:ascii="Calibri" w:eastAsia="Times New Roman" w:hAnsi="Calibri" w:cs="Calibri"/>
                <w:color w:val="000000"/>
                <w:sz w:val="20"/>
                <w:szCs w:val="20"/>
                <w:lang w:eastAsia="da-DK"/>
              </w:rPr>
              <w:t>SydVest</w:t>
            </w:r>
            <w:proofErr w:type="spellEnd"/>
            <w:r w:rsidR="00685F71">
              <w:rPr>
                <w:rFonts w:ascii="Calibri" w:eastAsia="Times New Roman" w:hAnsi="Calibri" w:cs="Calibri"/>
                <w:color w:val="000000"/>
                <w:sz w:val="20"/>
                <w:szCs w:val="20"/>
                <w:lang w:eastAsia="da-DK"/>
              </w:rPr>
              <w:t xml:space="preserve"> (EASV)</w:t>
            </w:r>
          </w:p>
        </w:tc>
      </w:tr>
      <w:tr w:rsidR="00FE19F2" w:rsidRPr="00E22854" w14:paraId="1AF4C86D" w14:textId="77777777" w:rsidTr="00685F71">
        <w:trPr>
          <w:trHeight w:val="227"/>
        </w:trPr>
        <w:tc>
          <w:tcPr>
            <w:tcW w:w="8861" w:type="dxa"/>
            <w:tcBorders>
              <w:top w:val="nil"/>
              <w:left w:val="nil"/>
              <w:bottom w:val="nil"/>
              <w:right w:val="nil"/>
            </w:tcBorders>
            <w:shd w:val="clear" w:color="auto" w:fill="auto"/>
            <w:vAlign w:val="bottom"/>
            <w:hideMark/>
          </w:tcPr>
          <w:p w14:paraId="67F0C650" w14:textId="540037DE"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Erhvervsakademi Aarhus</w:t>
            </w:r>
            <w:r w:rsidR="00685F71">
              <w:rPr>
                <w:rFonts w:ascii="Calibri" w:eastAsia="Times New Roman" w:hAnsi="Calibri" w:cs="Calibri"/>
                <w:color w:val="000000"/>
                <w:sz w:val="20"/>
                <w:szCs w:val="20"/>
                <w:lang w:eastAsia="da-DK"/>
              </w:rPr>
              <w:t xml:space="preserve"> (EAAA)</w:t>
            </w:r>
          </w:p>
        </w:tc>
      </w:tr>
      <w:tr w:rsidR="00FE19F2" w:rsidRPr="00E22854" w14:paraId="5FA8221B" w14:textId="77777777" w:rsidTr="00685F71">
        <w:trPr>
          <w:trHeight w:val="227"/>
        </w:trPr>
        <w:tc>
          <w:tcPr>
            <w:tcW w:w="8861" w:type="dxa"/>
            <w:tcBorders>
              <w:top w:val="nil"/>
              <w:left w:val="nil"/>
              <w:bottom w:val="nil"/>
              <w:right w:val="nil"/>
            </w:tcBorders>
            <w:shd w:val="clear" w:color="auto" w:fill="auto"/>
            <w:vAlign w:val="bottom"/>
            <w:hideMark/>
          </w:tcPr>
          <w:p w14:paraId="3BB9BD83" w14:textId="3FD57171"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Erhvervsakademiet Copenhagen Business</w:t>
            </w:r>
            <w:r w:rsidR="00685F71">
              <w:rPr>
                <w:rFonts w:ascii="Calibri" w:eastAsia="Times New Roman" w:hAnsi="Calibri" w:cs="Calibri"/>
                <w:color w:val="000000"/>
                <w:sz w:val="20"/>
                <w:szCs w:val="20"/>
                <w:lang w:eastAsia="da-DK"/>
              </w:rPr>
              <w:t xml:space="preserve"> (</w:t>
            </w:r>
            <w:proofErr w:type="spellStart"/>
            <w:r w:rsidR="00685F71">
              <w:rPr>
                <w:rFonts w:ascii="Calibri" w:eastAsia="Times New Roman" w:hAnsi="Calibri" w:cs="Calibri"/>
                <w:color w:val="000000"/>
                <w:sz w:val="20"/>
                <w:szCs w:val="20"/>
                <w:lang w:eastAsia="da-DK"/>
              </w:rPr>
              <w:t>CPHBusiness</w:t>
            </w:r>
            <w:proofErr w:type="spellEnd"/>
            <w:r w:rsidR="00685F71">
              <w:rPr>
                <w:rFonts w:ascii="Calibri" w:eastAsia="Times New Roman" w:hAnsi="Calibri" w:cs="Calibri"/>
                <w:color w:val="000000"/>
                <w:sz w:val="20"/>
                <w:szCs w:val="20"/>
                <w:lang w:eastAsia="da-DK"/>
              </w:rPr>
              <w:t>)</w:t>
            </w:r>
          </w:p>
        </w:tc>
      </w:tr>
      <w:tr w:rsidR="00FE19F2" w:rsidRPr="00E22854" w14:paraId="26883A11" w14:textId="77777777" w:rsidTr="00685F71">
        <w:trPr>
          <w:trHeight w:val="227"/>
        </w:trPr>
        <w:tc>
          <w:tcPr>
            <w:tcW w:w="8861" w:type="dxa"/>
            <w:tcBorders>
              <w:top w:val="nil"/>
              <w:left w:val="nil"/>
              <w:bottom w:val="nil"/>
              <w:right w:val="nil"/>
            </w:tcBorders>
            <w:shd w:val="clear" w:color="auto" w:fill="auto"/>
            <w:vAlign w:val="bottom"/>
            <w:hideMark/>
          </w:tcPr>
          <w:p w14:paraId="59582B76" w14:textId="41B9D51A" w:rsidR="00FE19F2" w:rsidRPr="00725EBF" w:rsidRDefault="00685F71" w:rsidP="00FE19F2">
            <w:pPr>
              <w:tabs>
                <w:tab w:val="clear" w:pos="454"/>
              </w:tabs>
              <w:spacing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Københavns Erhvervsakademi (KEA)</w:t>
            </w:r>
          </w:p>
        </w:tc>
      </w:tr>
      <w:tr w:rsidR="00FE19F2" w:rsidRPr="00E22854" w14:paraId="696968F3" w14:textId="77777777" w:rsidTr="00685F71">
        <w:trPr>
          <w:trHeight w:val="227"/>
        </w:trPr>
        <w:tc>
          <w:tcPr>
            <w:tcW w:w="8861" w:type="dxa"/>
            <w:tcBorders>
              <w:top w:val="nil"/>
              <w:left w:val="nil"/>
              <w:bottom w:val="nil"/>
              <w:right w:val="nil"/>
            </w:tcBorders>
            <w:shd w:val="clear" w:color="000000" w:fill="A6A6A6"/>
            <w:vAlign w:val="bottom"/>
            <w:hideMark/>
          </w:tcPr>
          <w:p w14:paraId="745B30BB" w14:textId="77777777" w:rsidR="00FE19F2" w:rsidRPr="00725EBF" w:rsidRDefault="00FE19F2" w:rsidP="00FE19F2">
            <w:pPr>
              <w:tabs>
                <w:tab w:val="clear" w:pos="454"/>
              </w:tabs>
              <w:spacing w:line="240" w:lineRule="auto"/>
              <w:rPr>
                <w:rFonts w:ascii="Calibri" w:eastAsia="Times New Roman" w:hAnsi="Calibri" w:cs="Calibri"/>
                <w:color w:val="auto"/>
                <w:sz w:val="20"/>
                <w:szCs w:val="20"/>
                <w:lang w:eastAsia="da-DK"/>
              </w:rPr>
            </w:pPr>
            <w:r w:rsidRPr="00725EBF">
              <w:rPr>
                <w:rFonts w:ascii="Calibri" w:eastAsia="Times New Roman" w:hAnsi="Calibri" w:cs="Calibri"/>
                <w:color w:val="auto"/>
                <w:sz w:val="20"/>
                <w:szCs w:val="20"/>
                <w:lang w:eastAsia="da-DK"/>
              </w:rPr>
              <w:t>Maritime</w:t>
            </w:r>
          </w:p>
        </w:tc>
      </w:tr>
      <w:tr w:rsidR="00FE19F2" w:rsidRPr="00E22854" w14:paraId="7C00D0E4" w14:textId="77777777" w:rsidTr="00685F71">
        <w:trPr>
          <w:trHeight w:val="227"/>
        </w:trPr>
        <w:tc>
          <w:tcPr>
            <w:tcW w:w="8861" w:type="dxa"/>
            <w:tcBorders>
              <w:top w:val="nil"/>
              <w:left w:val="nil"/>
              <w:bottom w:val="nil"/>
              <w:right w:val="nil"/>
            </w:tcBorders>
            <w:shd w:val="clear" w:color="auto" w:fill="auto"/>
            <w:vAlign w:val="bottom"/>
            <w:hideMark/>
          </w:tcPr>
          <w:p w14:paraId="0BEC1C28" w14:textId="626BADA6"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Fredericia Maskinmesterskole</w:t>
            </w:r>
            <w:r w:rsidR="00685F71">
              <w:rPr>
                <w:rFonts w:ascii="Calibri" w:eastAsia="Times New Roman" w:hAnsi="Calibri" w:cs="Calibri"/>
                <w:color w:val="000000"/>
                <w:sz w:val="20"/>
                <w:szCs w:val="20"/>
                <w:lang w:eastAsia="da-DK"/>
              </w:rPr>
              <w:t xml:space="preserve"> (FMS)</w:t>
            </w:r>
          </w:p>
        </w:tc>
      </w:tr>
      <w:tr w:rsidR="00FE19F2" w:rsidRPr="00E22854" w14:paraId="21C5F3A8" w14:textId="77777777" w:rsidTr="00685F71">
        <w:trPr>
          <w:trHeight w:val="227"/>
        </w:trPr>
        <w:tc>
          <w:tcPr>
            <w:tcW w:w="8861" w:type="dxa"/>
            <w:tcBorders>
              <w:top w:val="nil"/>
              <w:left w:val="nil"/>
              <w:bottom w:val="nil"/>
              <w:right w:val="nil"/>
            </w:tcBorders>
            <w:shd w:val="clear" w:color="auto" w:fill="auto"/>
            <w:vAlign w:val="bottom"/>
            <w:hideMark/>
          </w:tcPr>
          <w:p w14:paraId="465ABB08" w14:textId="39177C2A"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Marstal Navigationsskole</w:t>
            </w:r>
            <w:r w:rsidR="00685F71">
              <w:rPr>
                <w:rFonts w:ascii="Calibri" w:eastAsia="Times New Roman" w:hAnsi="Calibri" w:cs="Calibri"/>
                <w:color w:val="000000"/>
                <w:sz w:val="20"/>
                <w:szCs w:val="20"/>
                <w:lang w:eastAsia="da-DK"/>
              </w:rPr>
              <w:t xml:space="preserve"> (MARNAV)</w:t>
            </w:r>
          </w:p>
        </w:tc>
      </w:tr>
      <w:tr w:rsidR="00FE19F2" w:rsidRPr="00E22854" w14:paraId="0DEF8CA7" w14:textId="77777777" w:rsidTr="00685F71">
        <w:trPr>
          <w:trHeight w:val="227"/>
        </w:trPr>
        <w:tc>
          <w:tcPr>
            <w:tcW w:w="8861" w:type="dxa"/>
            <w:tcBorders>
              <w:top w:val="nil"/>
              <w:left w:val="nil"/>
              <w:bottom w:val="nil"/>
              <w:right w:val="nil"/>
            </w:tcBorders>
            <w:shd w:val="clear" w:color="auto" w:fill="auto"/>
            <w:vAlign w:val="bottom"/>
            <w:hideMark/>
          </w:tcPr>
          <w:p w14:paraId="42212E07" w14:textId="6549B1D0"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MARTEC</w:t>
            </w:r>
            <w:r w:rsidR="00685F71">
              <w:rPr>
                <w:rFonts w:ascii="Calibri" w:eastAsia="Times New Roman" w:hAnsi="Calibri" w:cs="Calibri"/>
                <w:color w:val="000000"/>
                <w:sz w:val="20"/>
                <w:szCs w:val="20"/>
                <w:lang w:eastAsia="da-DK"/>
              </w:rPr>
              <w:t xml:space="preserve"> (MARTEC)</w:t>
            </w:r>
          </w:p>
        </w:tc>
      </w:tr>
      <w:tr w:rsidR="00FE19F2" w:rsidRPr="00E22854" w14:paraId="4EC5D2C8" w14:textId="77777777" w:rsidTr="00685F71">
        <w:trPr>
          <w:trHeight w:val="227"/>
        </w:trPr>
        <w:tc>
          <w:tcPr>
            <w:tcW w:w="8861" w:type="dxa"/>
            <w:tcBorders>
              <w:top w:val="nil"/>
              <w:left w:val="nil"/>
              <w:bottom w:val="nil"/>
              <w:right w:val="nil"/>
            </w:tcBorders>
            <w:shd w:val="clear" w:color="auto" w:fill="auto"/>
            <w:vAlign w:val="bottom"/>
            <w:hideMark/>
          </w:tcPr>
          <w:p w14:paraId="39F3886F" w14:textId="557DEA29"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Maskinmesterskolen København</w:t>
            </w:r>
            <w:r w:rsidR="000C6E52">
              <w:rPr>
                <w:rFonts w:ascii="Calibri" w:eastAsia="Times New Roman" w:hAnsi="Calibri" w:cs="Calibri"/>
                <w:color w:val="000000"/>
                <w:sz w:val="20"/>
                <w:szCs w:val="20"/>
                <w:lang w:eastAsia="da-DK"/>
              </w:rPr>
              <w:t xml:space="preserve"> </w:t>
            </w:r>
            <w:r w:rsidR="00685F71">
              <w:rPr>
                <w:rFonts w:ascii="Calibri" w:eastAsia="Times New Roman" w:hAnsi="Calibri" w:cs="Calibri"/>
                <w:color w:val="000000"/>
                <w:sz w:val="20"/>
                <w:szCs w:val="20"/>
                <w:lang w:eastAsia="da-DK"/>
              </w:rPr>
              <w:t>(MSK)</w:t>
            </w:r>
          </w:p>
        </w:tc>
      </w:tr>
      <w:tr w:rsidR="00FE19F2" w:rsidRPr="00E22854" w14:paraId="662DBD37" w14:textId="77777777" w:rsidTr="00685F71">
        <w:trPr>
          <w:trHeight w:val="227"/>
        </w:trPr>
        <w:tc>
          <w:tcPr>
            <w:tcW w:w="8861" w:type="dxa"/>
            <w:tcBorders>
              <w:top w:val="nil"/>
              <w:left w:val="nil"/>
              <w:bottom w:val="nil"/>
              <w:right w:val="nil"/>
            </w:tcBorders>
            <w:shd w:val="clear" w:color="auto" w:fill="auto"/>
            <w:vAlign w:val="bottom"/>
            <w:hideMark/>
          </w:tcPr>
          <w:p w14:paraId="16340EF0" w14:textId="604ADFC7"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Skoleskibet Georg Stage</w:t>
            </w:r>
            <w:r w:rsidR="00685F71">
              <w:rPr>
                <w:rFonts w:ascii="Calibri" w:eastAsia="Times New Roman" w:hAnsi="Calibri" w:cs="Calibri"/>
                <w:color w:val="000000"/>
                <w:sz w:val="20"/>
                <w:szCs w:val="20"/>
                <w:lang w:eastAsia="da-DK"/>
              </w:rPr>
              <w:t xml:space="preserve"> (SGS)</w:t>
            </w:r>
          </w:p>
        </w:tc>
      </w:tr>
      <w:tr w:rsidR="00FE19F2" w:rsidRPr="00E22854" w14:paraId="172D4D62" w14:textId="77777777" w:rsidTr="00685F71">
        <w:trPr>
          <w:trHeight w:val="227"/>
        </w:trPr>
        <w:tc>
          <w:tcPr>
            <w:tcW w:w="8861" w:type="dxa"/>
            <w:tcBorders>
              <w:top w:val="nil"/>
              <w:left w:val="nil"/>
              <w:bottom w:val="nil"/>
              <w:right w:val="nil"/>
            </w:tcBorders>
            <w:shd w:val="clear" w:color="auto" w:fill="auto"/>
            <w:vAlign w:val="bottom"/>
            <w:hideMark/>
          </w:tcPr>
          <w:p w14:paraId="03C0D162" w14:textId="659FBAA4" w:rsidR="00FE19F2" w:rsidRPr="00725EBF" w:rsidRDefault="00685F71" w:rsidP="00FE19F2">
            <w:pPr>
              <w:tabs>
                <w:tab w:val="clear" w:pos="454"/>
              </w:tabs>
              <w:spacing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Svendborg International Maritime Academy (SIMAC)</w:t>
            </w:r>
          </w:p>
        </w:tc>
      </w:tr>
      <w:tr w:rsidR="00FE19F2" w:rsidRPr="00E22854" w14:paraId="1D8C4C84" w14:textId="77777777" w:rsidTr="00685F71">
        <w:trPr>
          <w:trHeight w:val="227"/>
        </w:trPr>
        <w:tc>
          <w:tcPr>
            <w:tcW w:w="8861" w:type="dxa"/>
            <w:tcBorders>
              <w:top w:val="nil"/>
              <w:left w:val="nil"/>
              <w:bottom w:val="nil"/>
              <w:right w:val="nil"/>
            </w:tcBorders>
            <w:shd w:val="clear" w:color="auto" w:fill="auto"/>
            <w:vAlign w:val="bottom"/>
            <w:hideMark/>
          </w:tcPr>
          <w:p w14:paraId="3FFE6598" w14:textId="63112BF1" w:rsidR="00FE19F2" w:rsidRPr="00725EBF" w:rsidRDefault="00FE19F2" w:rsidP="00FE19F2">
            <w:pPr>
              <w:tabs>
                <w:tab w:val="clear" w:pos="454"/>
              </w:tabs>
              <w:spacing w:line="240" w:lineRule="auto"/>
              <w:rPr>
                <w:rFonts w:ascii="Calibri" w:eastAsia="Times New Roman" w:hAnsi="Calibri" w:cs="Calibri"/>
                <w:color w:val="000000"/>
                <w:sz w:val="20"/>
                <w:szCs w:val="20"/>
                <w:lang w:eastAsia="da-DK"/>
              </w:rPr>
            </w:pPr>
            <w:r w:rsidRPr="00725EBF">
              <w:rPr>
                <w:rFonts w:ascii="Calibri" w:eastAsia="Times New Roman" w:hAnsi="Calibri" w:cs="Calibri"/>
                <w:color w:val="000000"/>
                <w:sz w:val="20"/>
                <w:szCs w:val="20"/>
                <w:lang w:eastAsia="da-DK"/>
              </w:rPr>
              <w:t>Svendborg Søfartsskole</w:t>
            </w:r>
            <w:r w:rsidR="00685F71">
              <w:rPr>
                <w:rFonts w:ascii="Calibri" w:eastAsia="Times New Roman" w:hAnsi="Calibri" w:cs="Calibri"/>
                <w:color w:val="000000"/>
                <w:sz w:val="20"/>
                <w:szCs w:val="20"/>
                <w:lang w:eastAsia="da-DK"/>
              </w:rPr>
              <w:t xml:space="preserve"> (</w:t>
            </w:r>
            <w:r w:rsidR="00210F0B" w:rsidRPr="00210F0B">
              <w:rPr>
                <w:rFonts w:ascii="Calibri" w:eastAsia="Times New Roman" w:hAnsi="Calibri" w:cs="Calibri"/>
                <w:color w:val="000000"/>
                <w:sz w:val="20"/>
                <w:szCs w:val="20"/>
                <w:lang w:eastAsia="da-DK"/>
              </w:rPr>
              <w:t>SVESOEF</w:t>
            </w:r>
            <w:r w:rsidR="00685F71">
              <w:rPr>
                <w:rFonts w:ascii="Calibri" w:eastAsia="Times New Roman" w:hAnsi="Calibri" w:cs="Calibri"/>
                <w:color w:val="000000"/>
                <w:sz w:val="20"/>
                <w:szCs w:val="20"/>
                <w:lang w:eastAsia="da-DK"/>
              </w:rPr>
              <w:t>)</w:t>
            </w:r>
          </w:p>
        </w:tc>
      </w:tr>
      <w:tr w:rsidR="00FE19F2" w:rsidRPr="00E22854" w14:paraId="456C71BE" w14:textId="77777777" w:rsidTr="00685F71">
        <w:trPr>
          <w:trHeight w:val="227"/>
        </w:trPr>
        <w:tc>
          <w:tcPr>
            <w:tcW w:w="8861" w:type="dxa"/>
            <w:tcBorders>
              <w:top w:val="nil"/>
              <w:left w:val="nil"/>
              <w:bottom w:val="nil"/>
              <w:right w:val="nil"/>
            </w:tcBorders>
            <w:shd w:val="clear" w:color="auto" w:fill="auto"/>
            <w:vAlign w:val="bottom"/>
            <w:hideMark/>
          </w:tcPr>
          <w:p w14:paraId="2A6024B1" w14:textId="1FBA4EBA" w:rsidR="00FE19F2" w:rsidRPr="00725EBF" w:rsidRDefault="00685F71" w:rsidP="00FE19F2">
            <w:pPr>
              <w:tabs>
                <w:tab w:val="clear" w:pos="454"/>
              </w:tabs>
              <w:spacing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Aarhus Maskinmesterskole (AAMS)</w:t>
            </w:r>
          </w:p>
        </w:tc>
      </w:tr>
    </w:tbl>
    <w:p w14:paraId="640A5E07" w14:textId="77777777" w:rsidR="00F304A5" w:rsidRPr="00DA4302" w:rsidRDefault="00F304A5" w:rsidP="00F304A5">
      <w:pPr>
        <w:rPr>
          <w:color w:val="auto"/>
        </w:rPr>
      </w:pPr>
    </w:p>
    <w:p w14:paraId="7CC630E8" w14:textId="4529A058" w:rsidR="00685F71" w:rsidRDefault="00685F71">
      <w:pPr>
        <w:tabs>
          <w:tab w:val="clear" w:pos="454"/>
        </w:tabs>
        <w:rPr>
          <w:color w:val="auto"/>
        </w:rPr>
      </w:pPr>
      <w:r>
        <w:rPr>
          <w:color w:val="auto"/>
        </w:rPr>
        <w:br w:type="page"/>
      </w:r>
    </w:p>
    <w:p w14:paraId="3A0A534C" w14:textId="38AF3799" w:rsidR="00BE5334" w:rsidRPr="00725EBF" w:rsidRDefault="00BE5334" w:rsidP="00BE5334">
      <w:pPr>
        <w:pStyle w:val="Overskrift1"/>
        <w:numPr>
          <w:ilvl w:val="0"/>
          <w:numId w:val="0"/>
        </w:numPr>
        <w:tabs>
          <w:tab w:val="left" w:pos="8222"/>
        </w:tabs>
        <w:ind w:left="-1049"/>
        <w:rPr>
          <w:color w:val="auto"/>
          <w:sz w:val="18"/>
          <w:szCs w:val="18"/>
        </w:rPr>
      </w:pPr>
      <w:bookmarkStart w:id="141" w:name="_Toc19280593"/>
      <w:r>
        <w:rPr>
          <w:color w:val="auto"/>
        </w:rPr>
        <w:lastRenderedPageBreak/>
        <w:t>Bilag 2. Lovgrundlag</w:t>
      </w:r>
      <w:bookmarkEnd w:id="141"/>
      <w:r w:rsidRPr="00725EBF">
        <w:rPr>
          <w:color w:val="auto"/>
          <w:sz w:val="18"/>
          <w:szCs w:val="18"/>
        </w:rPr>
        <w:t xml:space="preserve"> </w:t>
      </w:r>
    </w:p>
    <w:p w14:paraId="460AF6C4" w14:textId="34DAD189" w:rsidR="00BE5334" w:rsidRPr="00DA4302" w:rsidRDefault="00BE5334" w:rsidP="00BE5334">
      <w:pPr>
        <w:rPr>
          <w:color w:val="auto"/>
        </w:rPr>
      </w:pPr>
      <w:r>
        <w:rPr>
          <w:color w:val="auto"/>
        </w:rPr>
        <w:t xml:space="preserve">Nærværende </w:t>
      </w:r>
      <w:r w:rsidR="00563525">
        <w:rPr>
          <w:color w:val="auto"/>
        </w:rPr>
        <w:t>vejledning</w:t>
      </w:r>
      <w:r>
        <w:rPr>
          <w:color w:val="auto"/>
        </w:rPr>
        <w:t xml:space="preserve"> er udstedt af Styrelsen for Institutioner og Uddannelsesstøtte i henhold til [bekendtgørelse, </w:t>
      </w:r>
      <w:r>
        <w:rPr>
          <w:i/>
          <w:color w:val="auto"/>
        </w:rPr>
        <w:t>jf. hjemmelsgrundlag nedenfor</w:t>
      </w:r>
      <w:r>
        <w:rPr>
          <w:color w:val="auto"/>
        </w:rPr>
        <w:t xml:space="preserve">], og finder anvendelse på de </w:t>
      </w:r>
      <w:r w:rsidRPr="00DA4302">
        <w:rPr>
          <w:color w:val="auto"/>
        </w:rPr>
        <w:t>videregående uddannelsesinstitutioner under Uddannelses- og Forskningsministeriet</w:t>
      </w:r>
      <w:r>
        <w:rPr>
          <w:color w:val="auto"/>
        </w:rPr>
        <w:t xml:space="preserve">, </w:t>
      </w:r>
      <w:r w:rsidRPr="00725EBF">
        <w:rPr>
          <w:i/>
          <w:color w:val="auto"/>
        </w:rPr>
        <w:t>jf. bilag 1</w:t>
      </w:r>
      <w:r w:rsidRPr="00DA4302">
        <w:rPr>
          <w:color w:val="auto"/>
        </w:rPr>
        <w:t>:</w:t>
      </w:r>
    </w:p>
    <w:p w14:paraId="2DA99ADD" w14:textId="77777777" w:rsidR="00BE5334" w:rsidRPr="00DA4302" w:rsidRDefault="00BE5334" w:rsidP="00037676">
      <w:pPr>
        <w:pStyle w:val="Listeafsnit"/>
        <w:numPr>
          <w:ilvl w:val="0"/>
          <w:numId w:val="10"/>
        </w:numPr>
        <w:tabs>
          <w:tab w:val="clear" w:pos="454"/>
          <w:tab w:val="left" w:pos="1134"/>
        </w:tabs>
        <w:spacing w:before="120"/>
        <w:ind w:left="142" w:hanging="142"/>
        <w:contextualSpacing w:val="0"/>
        <w:rPr>
          <w:color w:val="auto"/>
        </w:rPr>
      </w:pPr>
      <w:r w:rsidRPr="00DA4302">
        <w:rPr>
          <w:color w:val="auto"/>
        </w:rPr>
        <w:t xml:space="preserve">Universiteter, jf. Bekendtgørelse af lov om universiteter LBK </w:t>
      </w:r>
      <w:proofErr w:type="spellStart"/>
      <w:r w:rsidRPr="00DA4302">
        <w:rPr>
          <w:color w:val="auto"/>
        </w:rPr>
        <w:t>nr</w:t>
      </w:r>
      <w:proofErr w:type="spellEnd"/>
      <w:r w:rsidRPr="00DA4302">
        <w:rPr>
          <w:color w:val="auto"/>
        </w:rPr>
        <w:t xml:space="preserve"> 172 af 27/02/2018</w:t>
      </w:r>
    </w:p>
    <w:p w14:paraId="5EA6EC12" w14:textId="77777777" w:rsidR="00BE5334" w:rsidRPr="00DA4302" w:rsidRDefault="00BE5334" w:rsidP="00037676">
      <w:pPr>
        <w:pStyle w:val="Listeafsnit"/>
        <w:numPr>
          <w:ilvl w:val="0"/>
          <w:numId w:val="10"/>
        </w:numPr>
        <w:tabs>
          <w:tab w:val="clear" w:pos="454"/>
          <w:tab w:val="left" w:pos="1134"/>
        </w:tabs>
        <w:spacing w:before="120"/>
        <w:ind w:left="142" w:hanging="142"/>
        <w:contextualSpacing w:val="0"/>
        <w:rPr>
          <w:color w:val="auto"/>
        </w:rPr>
      </w:pPr>
      <w:r w:rsidRPr="00DA4302">
        <w:rPr>
          <w:color w:val="auto"/>
        </w:rPr>
        <w:t>Professionshøjskoler og Danmarks Medie- og Journalisthøjskole, jf</w:t>
      </w:r>
      <w:r w:rsidRPr="009B5D1E">
        <w:rPr>
          <w:color w:val="auto"/>
        </w:rPr>
        <w:t xml:space="preserve">. Bekendtgørelse af lov om professionshøjskoler for videregående uddannelser LBK </w:t>
      </w:r>
      <w:proofErr w:type="spellStart"/>
      <w:r w:rsidRPr="009B5D1E">
        <w:rPr>
          <w:color w:val="auto"/>
        </w:rPr>
        <w:t>nr</w:t>
      </w:r>
      <w:proofErr w:type="spellEnd"/>
      <w:r w:rsidRPr="009B5D1E">
        <w:rPr>
          <w:color w:val="auto"/>
        </w:rPr>
        <w:t xml:space="preserve"> 152 af 27/02/2018</w:t>
      </w:r>
      <w:r w:rsidRPr="00CB1335">
        <w:rPr>
          <w:color w:val="auto"/>
        </w:rPr>
        <w:t xml:space="preserve">, samt </w:t>
      </w:r>
      <w:r w:rsidRPr="009B5D1E">
        <w:rPr>
          <w:color w:val="auto"/>
        </w:rPr>
        <w:t>Bekendtgørelse af lov om medie- og journalisthøjskolen</w:t>
      </w:r>
      <w:r>
        <w:rPr>
          <w:color w:val="auto"/>
        </w:rPr>
        <w:t xml:space="preserve"> </w:t>
      </w:r>
      <w:r w:rsidRPr="00CB1335">
        <w:rPr>
          <w:color w:val="auto"/>
        </w:rPr>
        <w:t>LBK nr. 154 af 27/02/2018 </w:t>
      </w:r>
    </w:p>
    <w:p w14:paraId="44BB5BEF" w14:textId="77777777" w:rsidR="00BE5334" w:rsidRPr="00DA4302" w:rsidRDefault="00BE5334" w:rsidP="00037676">
      <w:pPr>
        <w:pStyle w:val="Listeafsnit"/>
        <w:numPr>
          <w:ilvl w:val="0"/>
          <w:numId w:val="10"/>
        </w:numPr>
        <w:tabs>
          <w:tab w:val="clear" w:pos="454"/>
          <w:tab w:val="left" w:pos="1134"/>
        </w:tabs>
        <w:spacing w:before="120"/>
        <w:ind w:left="142" w:hanging="142"/>
        <w:contextualSpacing w:val="0"/>
        <w:rPr>
          <w:color w:val="auto"/>
        </w:rPr>
      </w:pPr>
      <w:r w:rsidRPr="00DA4302">
        <w:rPr>
          <w:color w:val="auto"/>
        </w:rPr>
        <w:t>Erhvervsakademier, jf. Bekendtgørelse af lov om erhvervsakademier for videregående uddannelser LBK nr</w:t>
      </w:r>
      <w:r>
        <w:rPr>
          <w:color w:val="auto"/>
        </w:rPr>
        <w:t>.</w:t>
      </w:r>
      <w:r w:rsidRPr="00DA4302">
        <w:rPr>
          <w:color w:val="auto"/>
        </w:rPr>
        <w:t xml:space="preserve"> 153 af 27/02/2018</w:t>
      </w:r>
    </w:p>
    <w:p w14:paraId="62C2C127" w14:textId="77777777" w:rsidR="00BE5334" w:rsidRPr="00DA4302" w:rsidRDefault="00BE5334" w:rsidP="00037676">
      <w:pPr>
        <w:pStyle w:val="Listeafsnit"/>
        <w:numPr>
          <w:ilvl w:val="0"/>
          <w:numId w:val="10"/>
        </w:numPr>
        <w:tabs>
          <w:tab w:val="clear" w:pos="454"/>
          <w:tab w:val="left" w:pos="1134"/>
        </w:tabs>
        <w:spacing w:before="120"/>
        <w:ind w:left="142" w:hanging="142"/>
        <w:contextualSpacing w:val="0"/>
        <w:rPr>
          <w:color w:val="auto"/>
        </w:rPr>
      </w:pPr>
      <w:r w:rsidRPr="00DA4302">
        <w:rPr>
          <w:color w:val="auto"/>
        </w:rPr>
        <w:t xml:space="preserve">Maritime uddannelsesinstitutioner, jf. Bekendtgørelse af lov om maritime uddannelser LBK </w:t>
      </w:r>
      <w:proofErr w:type="spellStart"/>
      <w:r w:rsidRPr="00DA4302">
        <w:rPr>
          <w:color w:val="auto"/>
        </w:rPr>
        <w:t>nr</w:t>
      </w:r>
      <w:proofErr w:type="spellEnd"/>
      <w:r w:rsidRPr="00DA4302">
        <w:rPr>
          <w:color w:val="auto"/>
        </w:rPr>
        <w:t xml:space="preserve"> 164 af 27/02/2018</w:t>
      </w:r>
    </w:p>
    <w:p w14:paraId="6478F37F" w14:textId="77777777" w:rsidR="00BE5334" w:rsidRPr="00DA4302" w:rsidRDefault="00BE5334" w:rsidP="00037676">
      <w:pPr>
        <w:pStyle w:val="Listeafsnit"/>
        <w:numPr>
          <w:ilvl w:val="0"/>
          <w:numId w:val="10"/>
        </w:numPr>
        <w:tabs>
          <w:tab w:val="clear" w:pos="454"/>
          <w:tab w:val="left" w:pos="1134"/>
        </w:tabs>
        <w:spacing w:before="120"/>
        <w:ind w:left="142" w:hanging="142"/>
        <w:contextualSpacing w:val="0"/>
        <w:rPr>
          <w:color w:val="auto"/>
        </w:rPr>
      </w:pPr>
      <w:r w:rsidRPr="00DA4302">
        <w:rPr>
          <w:color w:val="auto"/>
        </w:rPr>
        <w:t>De videregående kunstneriske uddannelsesinstitutioner, jf. Bekendtgørelse af lov om videregående kunstneriske uddannelsesinstitutioner LBK nr</w:t>
      </w:r>
      <w:r>
        <w:rPr>
          <w:color w:val="auto"/>
        </w:rPr>
        <w:t>.</w:t>
      </w:r>
      <w:r w:rsidRPr="00DA4302">
        <w:rPr>
          <w:color w:val="auto"/>
        </w:rPr>
        <w:t xml:space="preserve"> 59 af 26/01/2015</w:t>
      </w:r>
    </w:p>
    <w:p w14:paraId="68F939FD" w14:textId="07132CF0" w:rsidR="00BF7504" w:rsidRDefault="00BF7504" w:rsidP="00BF7504">
      <w:pPr>
        <w:rPr>
          <w:color w:val="auto"/>
        </w:rPr>
      </w:pPr>
    </w:p>
    <w:p w14:paraId="05AFAF35" w14:textId="700B9A58" w:rsidR="00BE5334" w:rsidRDefault="00BE5334" w:rsidP="00BF7504">
      <w:pPr>
        <w:rPr>
          <w:color w:val="auto"/>
        </w:rPr>
      </w:pPr>
    </w:p>
    <w:p w14:paraId="1D000579" w14:textId="77777777" w:rsidR="00BE5334" w:rsidRPr="00DA4302" w:rsidRDefault="00BE5334" w:rsidP="00BE5334">
      <w:pPr>
        <w:tabs>
          <w:tab w:val="left" w:pos="426"/>
        </w:tabs>
        <w:rPr>
          <w:b/>
          <w:color w:val="auto"/>
        </w:rPr>
      </w:pPr>
      <w:r w:rsidRPr="00DA4302">
        <w:rPr>
          <w:b/>
          <w:color w:val="auto"/>
        </w:rPr>
        <w:t>Hjemmelsgrundlag for bekendtgørelse om fælles kontoplan</w:t>
      </w:r>
    </w:p>
    <w:p w14:paraId="24DEA3F6" w14:textId="77777777" w:rsidR="00BE5334" w:rsidRDefault="00BE5334" w:rsidP="00BE5334">
      <w:pPr>
        <w:jc w:val="both"/>
        <w:rPr>
          <w:color w:val="auto"/>
        </w:rPr>
      </w:pPr>
      <w:r w:rsidRPr="00DA4302">
        <w:rPr>
          <w:color w:val="auto"/>
        </w:rPr>
        <w:t>I forbindelse med indførelse af en fælles kontoplan er hjemmelsgrundlaget for krav om at uddannelsesinstitutionerne under § 19 anvender centralt definerede kontoplaner i regnskabsførelsen følgende:</w:t>
      </w:r>
    </w:p>
    <w:p w14:paraId="0C44E644" w14:textId="77777777" w:rsidR="00BE5334" w:rsidRDefault="00BE5334" w:rsidP="00BE5334">
      <w:pPr>
        <w:jc w:val="both"/>
        <w:rPr>
          <w:color w:val="auto"/>
        </w:rPr>
      </w:pPr>
    </w:p>
    <w:p w14:paraId="4A4286A2" w14:textId="77777777" w:rsidR="00BE5334" w:rsidRPr="00DA4302" w:rsidRDefault="00BE5334" w:rsidP="00BE5334">
      <w:pPr>
        <w:jc w:val="both"/>
        <w:rPr>
          <w:color w:val="auto"/>
        </w:rPr>
      </w:pPr>
      <w:r w:rsidRPr="00DA4302">
        <w:rPr>
          <w:color w:val="auto"/>
          <w:u w:val="single"/>
        </w:rPr>
        <w:t>Universiteterne:</w:t>
      </w:r>
    </w:p>
    <w:p w14:paraId="7533DD13" w14:textId="77777777" w:rsidR="00BE5334" w:rsidRPr="00DA4302" w:rsidRDefault="00BE5334" w:rsidP="00BE5334">
      <w:pPr>
        <w:jc w:val="both"/>
        <w:rPr>
          <w:color w:val="auto"/>
        </w:rPr>
      </w:pPr>
      <w:r w:rsidRPr="00DA4302">
        <w:rPr>
          <w:color w:val="auto"/>
        </w:rPr>
        <w:t xml:space="preserve">Efter universitetslovens § 28, stk. 6, kan ministeren fastsætte regler for regnskabsaflæggelsen i overensstemmelse med de til enhver tid gældende statslige regnskabsregler. Bestemmelsen er således en hjemmel til at fastsætte nærmere regler (almindeligvis i bekendtgørelsesform). </w:t>
      </w:r>
    </w:p>
    <w:p w14:paraId="61B51524" w14:textId="77777777" w:rsidR="00BE5334" w:rsidRPr="00DA4302" w:rsidRDefault="00BE5334" w:rsidP="00BE5334">
      <w:pPr>
        <w:jc w:val="both"/>
        <w:rPr>
          <w:color w:val="auto"/>
        </w:rPr>
      </w:pPr>
    </w:p>
    <w:p w14:paraId="7AF8EE00" w14:textId="77777777" w:rsidR="00BE5334" w:rsidRPr="00DA4302" w:rsidRDefault="00BE5334" w:rsidP="00BE5334">
      <w:pPr>
        <w:jc w:val="both"/>
        <w:rPr>
          <w:color w:val="auto"/>
        </w:rPr>
      </w:pPr>
      <w:r w:rsidRPr="00DA4302">
        <w:rPr>
          <w:color w:val="auto"/>
        </w:rPr>
        <w:t>§ 28, stk. 6, blev indsat i universitetsloven ved § 1, stk. 46, i lov nr. 634 af 14. juni 2011, der ændrer universitetsloven og andre love. Det anføres i ændringslovens bemærkninger, at ministeren med den foreslåede bestemmelse i stk. 6</w:t>
      </w:r>
      <w:r w:rsidRPr="00DA4302">
        <w:rPr>
          <w:rStyle w:val="italic1"/>
          <w:color w:val="auto"/>
        </w:rPr>
        <w:t xml:space="preserve"> </w:t>
      </w:r>
      <w:r w:rsidRPr="00DA4302">
        <w:rPr>
          <w:color w:val="auto"/>
        </w:rPr>
        <w:t xml:space="preserve">får mulighed for at fastsætte særlige regler for regnskabsaflæggelsen, blot disse overholder de gældende statslige regnskabsregler. </w:t>
      </w:r>
    </w:p>
    <w:p w14:paraId="3ACF73BB" w14:textId="77777777" w:rsidR="00BE5334" w:rsidRPr="00DA4302" w:rsidRDefault="00BE5334" w:rsidP="00BE5334">
      <w:pPr>
        <w:jc w:val="both"/>
        <w:rPr>
          <w:color w:val="auto"/>
        </w:rPr>
      </w:pPr>
    </w:p>
    <w:p w14:paraId="43979EFB" w14:textId="77777777" w:rsidR="00BE5334" w:rsidRPr="00DA4302" w:rsidRDefault="00BE5334" w:rsidP="00BE5334">
      <w:pPr>
        <w:jc w:val="both"/>
        <w:rPr>
          <w:color w:val="auto"/>
          <w:u w:val="single"/>
        </w:rPr>
      </w:pPr>
      <w:r w:rsidRPr="00DA4302">
        <w:rPr>
          <w:color w:val="auto"/>
          <w:u w:val="single"/>
        </w:rPr>
        <w:t>De maritime uddannelsesinstitutioner</w:t>
      </w:r>
    </w:p>
    <w:p w14:paraId="2ABAD90E" w14:textId="77777777" w:rsidR="00BE5334" w:rsidRPr="00DA4302" w:rsidRDefault="00BE5334" w:rsidP="00BE5334">
      <w:pPr>
        <w:jc w:val="both"/>
        <w:rPr>
          <w:color w:val="auto"/>
        </w:rPr>
      </w:pPr>
      <w:r w:rsidRPr="00DA4302">
        <w:rPr>
          <w:color w:val="auto"/>
        </w:rPr>
        <w:t>Hjemlen til at fastsætte regler om regnskabsaflæggelse på det maritime område svarer til bestemmelsen på universitetsområdet. Det følger således af § 10, stk. 6, i lov om maritime uddannelser, at ministeren kan fastsætte regler for regnskabsaflæggelsen i overensstemmelse med de til enhver tid gældende statslige regnskabsregler.</w:t>
      </w:r>
    </w:p>
    <w:p w14:paraId="5D25A7B4" w14:textId="77777777" w:rsidR="00BE5334" w:rsidRPr="00DA4302" w:rsidRDefault="00BE5334" w:rsidP="00BE5334">
      <w:pPr>
        <w:jc w:val="both"/>
        <w:rPr>
          <w:color w:val="auto"/>
        </w:rPr>
      </w:pPr>
    </w:p>
    <w:p w14:paraId="089F9862" w14:textId="77777777" w:rsidR="00BE5334" w:rsidRPr="00DA4302" w:rsidRDefault="00BE5334" w:rsidP="00BE5334">
      <w:pPr>
        <w:keepNext/>
        <w:jc w:val="both"/>
        <w:rPr>
          <w:color w:val="auto"/>
          <w:u w:val="single"/>
        </w:rPr>
      </w:pPr>
      <w:r w:rsidRPr="00DA4302">
        <w:rPr>
          <w:color w:val="auto"/>
          <w:u w:val="single"/>
        </w:rPr>
        <w:t>Erhvervsakademier, professionshøjskoler og medie- og journalisthøjskolen</w:t>
      </w:r>
    </w:p>
    <w:p w14:paraId="6DA5A1F8" w14:textId="77777777" w:rsidR="00BE5334" w:rsidRPr="00DA4302" w:rsidRDefault="00BE5334" w:rsidP="00BE5334">
      <w:pPr>
        <w:jc w:val="both"/>
        <w:rPr>
          <w:color w:val="auto"/>
        </w:rPr>
      </w:pPr>
      <w:r w:rsidRPr="00DA4302">
        <w:rPr>
          <w:color w:val="auto"/>
        </w:rPr>
        <w:t>Det er efter § 34, stk. 4, i lov om erhvervsakademier for videregående uddannelser, § 36, stk. 4, i lov om professionshøjskoler for videregående uddannelser og § 32, stk. 4, i lov om medie- og journalisthøjskolen forudsat, at ministeren fastsætter regler om uddannelsesinstitutionernes regnskabsføring.</w:t>
      </w:r>
    </w:p>
    <w:p w14:paraId="0643940B" w14:textId="77777777" w:rsidR="00BE5334" w:rsidRPr="00DA4302" w:rsidRDefault="00BE5334" w:rsidP="00BE5334">
      <w:pPr>
        <w:jc w:val="both"/>
        <w:rPr>
          <w:color w:val="auto"/>
        </w:rPr>
      </w:pPr>
    </w:p>
    <w:p w14:paraId="699321AA" w14:textId="77777777" w:rsidR="00BE5334" w:rsidRPr="00DA4302" w:rsidRDefault="00BE5334" w:rsidP="00BE5334">
      <w:pPr>
        <w:jc w:val="both"/>
        <w:rPr>
          <w:color w:val="auto"/>
        </w:rPr>
      </w:pPr>
      <w:r w:rsidRPr="00DA4302">
        <w:rPr>
          <w:color w:val="auto"/>
        </w:rPr>
        <w:t xml:space="preserve">Den oprindelige bemyndigelse kan føres tilbage til lov om selvejende institutioner for videregående uddannelser m.v., der trådte i kraft 1. januar 1997. Det er med selvejeloven forudsat, at regnskaberne opstilles og </w:t>
      </w:r>
      <w:r w:rsidRPr="00DA4302">
        <w:rPr>
          <w:color w:val="auto"/>
        </w:rPr>
        <w:lastRenderedPageBreak/>
        <w:t>revideres efter regler fastsat af ministeren. Lovbemærkningerne indeholder imidlertid ikke en nærmere beskrivelse af bemyndigelsens nærmere rammer for fastsættelse af regler om regnskabsføringen. I bemærkningerne til hhv. lov om erhvervsakademier og lov om professionshøjskoler for videregående uddannelser henvises der blot til de hidtil gældende regler.</w:t>
      </w:r>
    </w:p>
    <w:p w14:paraId="4C7F7563" w14:textId="77777777" w:rsidR="00BE5334" w:rsidRPr="00DA4302" w:rsidRDefault="00BE5334" w:rsidP="00BE5334">
      <w:pPr>
        <w:jc w:val="both"/>
        <w:rPr>
          <w:color w:val="auto"/>
        </w:rPr>
      </w:pPr>
    </w:p>
    <w:p w14:paraId="50C72FC1" w14:textId="77777777" w:rsidR="00BE5334" w:rsidRPr="00DA4302" w:rsidRDefault="00BE5334" w:rsidP="00BE5334">
      <w:pPr>
        <w:jc w:val="both"/>
        <w:rPr>
          <w:color w:val="auto"/>
        </w:rPr>
      </w:pPr>
      <w:r w:rsidRPr="00DA4302">
        <w:rPr>
          <w:color w:val="auto"/>
        </w:rPr>
        <w:t>Med bekendtgørelse nr. 1721 af 21. december 2010 om anvendelse af statens regnskabsvæsen m.v. for uddannelsesinstitutioner på Undervisningsministeriets ressortområde er det fastsat, at erhvervsakademier, professionshøjskoler og medie- og journalisthøjskolen er omfattet af lov om statens regnskabsvæsen m.v. og regler fastsat i medfør af loven.</w:t>
      </w:r>
    </w:p>
    <w:p w14:paraId="047FE253" w14:textId="77777777" w:rsidR="00BE5334" w:rsidRDefault="00BE5334" w:rsidP="00BE5334">
      <w:pPr>
        <w:jc w:val="both"/>
        <w:rPr>
          <w:color w:val="auto"/>
        </w:rPr>
      </w:pPr>
    </w:p>
    <w:p w14:paraId="2B8A41B7" w14:textId="77777777" w:rsidR="00BE5334" w:rsidRPr="00DA4302" w:rsidRDefault="00BE5334" w:rsidP="00BE5334">
      <w:pPr>
        <w:jc w:val="both"/>
        <w:rPr>
          <w:color w:val="auto"/>
          <w:u w:val="single"/>
        </w:rPr>
      </w:pPr>
      <w:r w:rsidRPr="00DA4302">
        <w:rPr>
          <w:color w:val="auto"/>
          <w:u w:val="single"/>
        </w:rPr>
        <w:t>Designskolen i Kolding</w:t>
      </w:r>
    </w:p>
    <w:p w14:paraId="7207C306" w14:textId="77777777" w:rsidR="00BE5334" w:rsidRPr="00DA4302" w:rsidRDefault="00BE5334" w:rsidP="00BE5334">
      <w:pPr>
        <w:jc w:val="both"/>
        <w:rPr>
          <w:color w:val="auto"/>
        </w:rPr>
      </w:pPr>
      <w:r w:rsidRPr="00DA4302">
        <w:rPr>
          <w:color w:val="auto"/>
        </w:rPr>
        <w:t xml:space="preserve">Det følger af § 16 c, stk. 1, i lov om videregående kunstneriske uddannelsesinstitutioner, jf. LBK nr. 59 af 26/01/2016, at ministeren kan fastsætte nærmere regler om regnskaber m.v. </w:t>
      </w:r>
    </w:p>
    <w:p w14:paraId="2ED1AA34" w14:textId="77777777" w:rsidR="00BE5334" w:rsidRPr="00DA4302" w:rsidRDefault="00BE5334" w:rsidP="00BE5334">
      <w:pPr>
        <w:jc w:val="both"/>
        <w:rPr>
          <w:color w:val="auto"/>
        </w:rPr>
      </w:pPr>
    </w:p>
    <w:p w14:paraId="3C7B4B75" w14:textId="77777777" w:rsidR="00BE5334" w:rsidRPr="00DA4302" w:rsidRDefault="00BE5334" w:rsidP="00BE5334">
      <w:pPr>
        <w:jc w:val="both"/>
        <w:rPr>
          <w:color w:val="auto"/>
        </w:rPr>
      </w:pPr>
      <w:r w:rsidRPr="00DA4302">
        <w:rPr>
          <w:color w:val="auto"/>
        </w:rPr>
        <w:t xml:space="preserve">Bemyndigelsen er udmøntet i bekendtgørelse om tilskud, regnskab m.v. for Designskolen Kolding, jf. BEK nr. 762 af 27/09/1999, hvori det bl.a. følger af bekendtgørelsens § 12, at regnskabet udarbejdes efter de af Finansministeriet til enhver tid fastsatte retningslinjer for udarbejdelse af virksomhedsregnskaber samt efter eventuelle supplerende retningslinjer fastsat af Kulturministeriet (nu UFM). </w:t>
      </w:r>
    </w:p>
    <w:p w14:paraId="610A94AE" w14:textId="77777777" w:rsidR="00BE5334" w:rsidRPr="00DA4302" w:rsidRDefault="00BE5334" w:rsidP="00BE5334">
      <w:pPr>
        <w:jc w:val="both"/>
        <w:rPr>
          <w:color w:val="auto"/>
          <w:u w:val="single"/>
        </w:rPr>
      </w:pPr>
    </w:p>
    <w:p w14:paraId="6DF6B47F" w14:textId="77777777" w:rsidR="00BE5334" w:rsidRPr="00DA4302" w:rsidRDefault="00BE5334" w:rsidP="00BE5334">
      <w:pPr>
        <w:jc w:val="both"/>
        <w:rPr>
          <w:color w:val="auto"/>
          <w:u w:val="single"/>
        </w:rPr>
      </w:pPr>
      <w:r w:rsidRPr="00DA4302">
        <w:rPr>
          <w:color w:val="auto"/>
          <w:u w:val="single"/>
        </w:rPr>
        <w:t>De videregående kunstneriske uddannelsesinstitutioner - KADK og AAA</w:t>
      </w:r>
    </w:p>
    <w:p w14:paraId="2C774B72" w14:textId="77777777" w:rsidR="00BE5334" w:rsidRPr="00DA4302" w:rsidRDefault="00BE5334" w:rsidP="00BE5334">
      <w:pPr>
        <w:jc w:val="both"/>
        <w:rPr>
          <w:color w:val="auto"/>
        </w:rPr>
      </w:pPr>
      <w:r w:rsidRPr="00DA4302">
        <w:rPr>
          <w:color w:val="auto"/>
        </w:rPr>
        <w:t>Det følger af § 11 c, der blev indsat med lov nr. 549 af 31/05/2011 (Ændring af styrelse af visse uddannelsesinstitutioner samt fusion af Det Kongelige Danske Kunstakademis Arkitektskole, Danmarks Designskole og Det Kongelige Danske Kunstakademis Konservatorskole m.v.), at bestyrelsen overfor ministeren er ansvarlig for institutionens samlede virksomhed, for institutionens anvendelse af bevillingen, for institutionens regnskab og for overholdelsen af de bestemmelser, der er fastsat for institutionens virke. Bestyrelsen underskriver institutionens regnskab.</w:t>
      </w:r>
    </w:p>
    <w:p w14:paraId="7796300C" w14:textId="77777777" w:rsidR="00BE5334" w:rsidRPr="00DA4302" w:rsidRDefault="00BE5334" w:rsidP="00BE5334">
      <w:pPr>
        <w:jc w:val="both"/>
        <w:rPr>
          <w:color w:val="auto"/>
        </w:rPr>
      </w:pPr>
    </w:p>
    <w:p w14:paraId="57BE422E" w14:textId="77777777" w:rsidR="00BE5334" w:rsidRPr="00DA4302" w:rsidRDefault="00BE5334" w:rsidP="00BE5334">
      <w:pPr>
        <w:jc w:val="both"/>
        <w:rPr>
          <w:color w:val="auto"/>
        </w:rPr>
      </w:pPr>
      <w:r w:rsidRPr="00DA4302">
        <w:rPr>
          <w:color w:val="auto"/>
        </w:rPr>
        <w:t>Det følger herunder af lovbemærkningerne, at bestyrelsen har ansvaret for, at institutionen følger de til enhver tid gældende regler vedrørende statens budget- og bevillingssystem, herunder at institutionen følger reglerne for statens regnskabsaflæggelse.</w:t>
      </w:r>
    </w:p>
    <w:p w14:paraId="38FDC86F" w14:textId="77777777" w:rsidR="00BE5334" w:rsidRPr="00DA4302" w:rsidRDefault="00BE5334" w:rsidP="00BE5334">
      <w:pPr>
        <w:jc w:val="both"/>
        <w:rPr>
          <w:color w:val="auto"/>
        </w:rPr>
      </w:pPr>
    </w:p>
    <w:p w14:paraId="7AFF2F79" w14:textId="77777777" w:rsidR="00BE5334" w:rsidRPr="00DA4302" w:rsidRDefault="00BE5334" w:rsidP="00BE5334">
      <w:pPr>
        <w:jc w:val="both"/>
        <w:rPr>
          <w:color w:val="auto"/>
        </w:rPr>
      </w:pPr>
      <w:r w:rsidRPr="00DA4302">
        <w:rPr>
          <w:color w:val="auto"/>
        </w:rPr>
        <w:t xml:space="preserve">I det konkrete tilfælde vil reglerne om en fælles kontoplan blive fastsat i ministerieinstruksen, jf. §§ 13 og 14 i bekendtgørelse om statens regnskabsvæsen mv., jf. </w:t>
      </w:r>
      <w:proofErr w:type="spellStart"/>
      <w:r w:rsidRPr="00DA4302">
        <w:rPr>
          <w:color w:val="auto"/>
        </w:rPr>
        <w:t>bek</w:t>
      </w:r>
      <w:proofErr w:type="spellEnd"/>
      <w:r w:rsidRPr="00DA4302">
        <w:rPr>
          <w:color w:val="auto"/>
        </w:rPr>
        <w:t>. nr. 70 af 27/01/2011.</w:t>
      </w:r>
    </w:p>
    <w:p w14:paraId="082D1463" w14:textId="77777777" w:rsidR="00BE5334" w:rsidRPr="00DA4302" w:rsidRDefault="00BE5334" w:rsidP="00BF7504">
      <w:pPr>
        <w:rPr>
          <w:color w:val="auto"/>
        </w:rPr>
      </w:pPr>
    </w:p>
    <w:sectPr w:rsidR="00BE5334" w:rsidRPr="00DA4302" w:rsidSect="00725EBF">
      <w:headerReference w:type="even" r:id="rId14"/>
      <w:headerReference w:type="default" r:id="rId15"/>
      <w:footerReference w:type="default" r:id="rId16"/>
      <w:headerReference w:type="first" r:id="rId17"/>
      <w:pgSz w:w="11906" w:h="16838" w:code="9"/>
      <w:pgMar w:top="1956" w:right="851" w:bottom="1702" w:left="1985" w:header="782" w:footer="83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3AA57" w16cid:durableId="1EAEBE69"/>
  <w16cid:commentId w16cid:paraId="3A2B264E" w16cid:durableId="1EAEBE6A"/>
  <w16cid:commentId w16cid:paraId="24694F1C" w16cid:durableId="1EAEBE6B"/>
  <w16cid:commentId w16cid:paraId="770CB7AA" w16cid:durableId="1EAEBE6C"/>
  <w16cid:commentId w16cid:paraId="3BB3FD14" w16cid:durableId="1EAEBE6D"/>
  <w16cid:commentId w16cid:paraId="4AE8ADD9" w16cid:durableId="1EAEBE6E"/>
  <w16cid:commentId w16cid:paraId="6493B569" w16cid:durableId="1EAEBE6F"/>
  <w16cid:commentId w16cid:paraId="0B433C06" w16cid:durableId="1EAEBE70"/>
  <w16cid:commentId w16cid:paraId="352195D7" w16cid:durableId="1EAEBE71"/>
  <w16cid:commentId w16cid:paraId="39BBE0AE" w16cid:durableId="1EAEBE72"/>
  <w16cid:commentId w16cid:paraId="51BD79BC" w16cid:durableId="1EAEBE73"/>
  <w16cid:commentId w16cid:paraId="6CF411D6" w16cid:durableId="1EAEBE74"/>
  <w16cid:commentId w16cid:paraId="1541E74E" w16cid:durableId="1EAEBE75"/>
  <w16cid:commentId w16cid:paraId="4214BDF8" w16cid:durableId="1EAEBE76"/>
  <w16cid:commentId w16cid:paraId="60E782E2" w16cid:durableId="1EAEBE77"/>
  <w16cid:commentId w16cid:paraId="6A546DBC" w16cid:durableId="1EAEBE78"/>
  <w16cid:commentId w16cid:paraId="4402C3DA" w16cid:durableId="1EAEBE79"/>
  <w16cid:commentId w16cid:paraId="39205405" w16cid:durableId="1EAEBE7A"/>
  <w16cid:commentId w16cid:paraId="284404C8" w16cid:durableId="1EAEBE7B"/>
  <w16cid:commentId w16cid:paraId="223B8A15" w16cid:durableId="1EAEBE7C"/>
  <w16cid:commentId w16cid:paraId="1847CE5A" w16cid:durableId="1EAEBE7D"/>
  <w16cid:commentId w16cid:paraId="65E27EB4" w16cid:durableId="1EAEBE7E"/>
  <w16cid:commentId w16cid:paraId="3D239F4D" w16cid:durableId="1EAEBE7F"/>
  <w16cid:commentId w16cid:paraId="1AA313A2" w16cid:durableId="1EAEBE80"/>
  <w16cid:commentId w16cid:paraId="7D34EC57" w16cid:durableId="1EAEBE81"/>
  <w16cid:commentId w16cid:paraId="725BB22C" w16cid:durableId="1EAEBE82"/>
  <w16cid:commentId w16cid:paraId="42CF49D4" w16cid:durableId="1EAEBE83"/>
  <w16cid:commentId w16cid:paraId="104E0548" w16cid:durableId="1EAEBE84"/>
  <w16cid:commentId w16cid:paraId="148CC7BB" w16cid:durableId="1EAEBE85"/>
  <w16cid:commentId w16cid:paraId="75B111A7" w16cid:durableId="1EAEBE86"/>
  <w16cid:commentId w16cid:paraId="24FF20EA" w16cid:durableId="1EAEBE87"/>
  <w16cid:commentId w16cid:paraId="6A9E848D" w16cid:durableId="1EAEBE88"/>
  <w16cid:commentId w16cid:paraId="5E50035E" w16cid:durableId="1EAEBE89"/>
  <w16cid:commentId w16cid:paraId="3E9E0770" w16cid:durableId="1EAEBE8A"/>
  <w16cid:commentId w16cid:paraId="4F9028CE" w16cid:durableId="1EAEBE8B"/>
  <w16cid:commentId w16cid:paraId="3709E7C2" w16cid:durableId="1EAEBE8C"/>
  <w16cid:commentId w16cid:paraId="1225CAAB" w16cid:durableId="1EAEBE8D"/>
  <w16cid:commentId w16cid:paraId="06ECE0B4" w16cid:durableId="1EAEBE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6939" w14:textId="77777777" w:rsidR="00B00638" w:rsidRDefault="00B00638" w:rsidP="009E4B94">
      <w:pPr>
        <w:spacing w:line="240" w:lineRule="auto"/>
      </w:pPr>
      <w:r>
        <w:separator/>
      </w:r>
    </w:p>
  </w:endnote>
  <w:endnote w:type="continuationSeparator" w:id="0">
    <w:p w14:paraId="08E9D800" w14:textId="77777777" w:rsidR="00B00638" w:rsidRDefault="00B0063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book">
    <w:panose1 w:val="0000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2032" w14:textId="2B379D98" w:rsidR="00B00638" w:rsidRPr="00371E01" w:rsidRDefault="00B00638" w:rsidP="00725EBF">
    <w:pPr>
      <w:pStyle w:val="Sidefod"/>
      <w:ind w:left="-1134"/>
    </w:pPr>
    <w:r>
      <w:t xml:space="preserve">Styrelsen for Institutioner og Uddannelsesstøtte </w:t>
    </w:r>
    <w:r>
      <w:tab/>
    </w:r>
    <w:r w:rsidRPr="0044141D">
      <w:rPr>
        <w:rStyle w:val="Sidetal"/>
      </w:rPr>
      <w:fldChar w:fldCharType="begin"/>
    </w:r>
    <w:r w:rsidRPr="0044141D">
      <w:rPr>
        <w:rStyle w:val="Sidetal"/>
      </w:rPr>
      <w:instrText xml:space="preserve"> PAGE  </w:instrText>
    </w:r>
    <w:r w:rsidRPr="0044141D">
      <w:rPr>
        <w:rStyle w:val="Sidetal"/>
      </w:rPr>
      <w:fldChar w:fldCharType="separate"/>
    </w:r>
    <w:r w:rsidR="00332DE0">
      <w:rPr>
        <w:rStyle w:val="Sidetal"/>
      </w:rPr>
      <w:t>2</w:t>
    </w:r>
    <w:r w:rsidRPr="0044141D">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D98F" w14:textId="77777777" w:rsidR="00B00638" w:rsidRDefault="00B00638" w:rsidP="009E4B94">
      <w:pPr>
        <w:spacing w:line="240" w:lineRule="auto"/>
      </w:pPr>
      <w:r>
        <w:separator/>
      </w:r>
    </w:p>
  </w:footnote>
  <w:footnote w:type="continuationSeparator" w:id="0">
    <w:p w14:paraId="222F3790" w14:textId="77777777" w:rsidR="00B00638" w:rsidRDefault="00B0063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6A15" w14:textId="70CE4A8E" w:rsidR="00B00638" w:rsidRDefault="00332DE0">
    <w:pPr>
      <w:pStyle w:val="Sidehoved"/>
    </w:pPr>
    <w:r>
      <w:rPr>
        <w:noProof/>
      </w:rPr>
      <w:pict w14:anchorId="2DF37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4" o:spid="_x0000_s2050" type="#_x0000_t136" style="position:absolute;left:0;text-align:left;margin-left:0;margin-top:0;width:511.5pt;height:127.85pt;rotation:315;z-index:-251655168;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077F" w14:textId="3678EA51" w:rsidR="00B00638" w:rsidRDefault="00332DE0">
    <w:pPr>
      <w:pStyle w:val="Sidehoved"/>
    </w:pPr>
    <w:r>
      <w:rPr>
        <w:noProof/>
      </w:rPr>
      <w:pict w14:anchorId="25C29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5" o:spid="_x0000_s2051" type="#_x0000_t136" style="position:absolute;left:0;text-align:left;margin-left:0;margin-top:0;width:511.5pt;height:127.85pt;rotation:315;z-index:-251653120;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0718" w14:textId="4625D5A5" w:rsidR="006A5098" w:rsidRDefault="00332DE0" w:rsidP="006A5098">
    <w:pPr>
      <w:pStyle w:val="Sidehoved"/>
      <w:tabs>
        <w:tab w:val="clear" w:pos="9638"/>
      </w:tabs>
      <w:ind w:left="0" w:right="423"/>
      <w:jc w:val="right"/>
      <w:rPr>
        <w:i/>
        <w:sz w:val="18"/>
        <w:szCs w:val="18"/>
      </w:rPr>
    </w:pPr>
    <w:r>
      <w:rPr>
        <w:i/>
        <w:noProof/>
        <w:sz w:val="18"/>
        <w:szCs w:val="18"/>
      </w:rPr>
      <w:pict w14:anchorId="5F3AD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3" o:spid="_x0000_s2049" type="#_x0000_t136" style="position:absolute;left:0;text-align:left;margin-left:0;margin-top:0;width:319.65pt;height:319.65pt;rotation:315;z-index:-251657216;mso-position-horizontal:center;mso-position-horizontal-relative:margin;mso-position-vertical:center;mso-position-vertical-relative:margin" o:allowincell="f" fillcolor="silver" stroked="f">
          <v:fill opacity=".5"/>
          <w10:wrap anchorx="margin" anchory="margin"/>
        </v:shape>
      </w:pict>
    </w:r>
    <w:r w:rsidR="00B00638" w:rsidRPr="00DD4556">
      <w:rPr>
        <w:i/>
        <w:sz w:val="18"/>
        <w:szCs w:val="18"/>
      </w:rPr>
      <w:t xml:space="preserve">Senest opdateret </w:t>
    </w:r>
    <w:r w:rsidR="006A5098">
      <w:rPr>
        <w:i/>
        <w:sz w:val="18"/>
        <w:szCs w:val="18"/>
      </w:rPr>
      <w:t>12. september 2019</w:t>
    </w:r>
  </w:p>
  <w:p w14:paraId="3481FD40" w14:textId="77777777" w:rsidR="006A5098" w:rsidRPr="00DD4556" w:rsidRDefault="006A5098" w:rsidP="006A5098">
    <w:pPr>
      <w:pStyle w:val="Sidehoved"/>
      <w:tabs>
        <w:tab w:val="clear" w:pos="9638"/>
      </w:tabs>
      <w:ind w:left="0" w:right="423"/>
      <w:jc w:val="center"/>
      <w:rPr>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E051" w14:textId="7CEAE991" w:rsidR="00B00638" w:rsidRDefault="00332DE0">
    <w:pPr>
      <w:pStyle w:val="Sidehoved"/>
    </w:pPr>
    <w:r>
      <w:rPr>
        <w:noProof/>
      </w:rPr>
      <w:pict w14:anchorId="2D06E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7" o:spid="_x0000_s2053" type="#_x0000_t136" style="position:absolute;left:0;text-align:left;margin-left:0;margin-top:0;width:511.5pt;height:127.85pt;rotation:315;z-index:-251649024;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9586" w14:textId="185D7506" w:rsidR="00B00638" w:rsidRDefault="00332DE0">
    <w:pPr>
      <w:pStyle w:val="Sidehoved"/>
    </w:pPr>
    <w:bookmarkStart w:id="142" w:name="SD_Publikation"/>
    <w:bookmarkEnd w:id="142"/>
    <w:r>
      <w:rPr>
        <w:noProof/>
      </w:rPr>
      <w:pict w14:anchorId="24101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8" o:spid="_x0000_s2054" type="#_x0000_t136" style="position:absolute;left:0;text-align:left;margin-left:0;margin-top:0;width:511.5pt;height:127.85pt;rotation:315;z-index:-251646976;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4805" w14:textId="0D75BBE2" w:rsidR="00B00638" w:rsidRDefault="00332DE0">
    <w:pPr>
      <w:pStyle w:val="Sidehoved"/>
    </w:pPr>
    <w:r>
      <w:rPr>
        <w:noProof/>
      </w:rPr>
      <w:pict w14:anchorId="4263E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596" o:spid="_x0000_s2052" type="#_x0000_t136" style="position:absolute;left:0;text-align:left;margin-left:0;margin-top:0;width:511.5pt;height:127.85pt;rotation:315;z-index:-251651072;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DF427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B9892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0377E"/>
    <w:multiLevelType w:val="hybridMultilevel"/>
    <w:tmpl w:val="664C0DEE"/>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5F0890"/>
    <w:multiLevelType w:val="hybridMultilevel"/>
    <w:tmpl w:val="A39870C0"/>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74725"/>
    <w:multiLevelType w:val="hybridMultilevel"/>
    <w:tmpl w:val="F984D5F6"/>
    <w:lvl w:ilvl="0" w:tplc="7AE07BC6">
      <w:start w:val="5"/>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2267B47"/>
    <w:multiLevelType w:val="hybridMultilevel"/>
    <w:tmpl w:val="F20A1C7E"/>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A25AC1"/>
    <w:multiLevelType w:val="hybridMultilevel"/>
    <w:tmpl w:val="411E6DE0"/>
    <w:lvl w:ilvl="0" w:tplc="F620E6C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734964"/>
    <w:multiLevelType w:val="hybridMultilevel"/>
    <w:tmpl w:val="4E20B6B0"/>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9A3615"/>
    <w:multiLevelType w:val="hybridMultilevel"/>
    <w:tmpl w:val="988E05D0"/>
    <w:lvl w:ilvl="0" w:tplc="A360048A">
      <w:numFmt w:val="bullet"/>
      <w:lvlText w:val="-"/>
      <w:lvlJc w:val="left"/>
      <w:pPr>
        <w:ind w:left="2992" w:hanging="360"/>
      </w:pPr>
      <w:rPr>
        <w:rFonts w:ascii="Georgia" w:eastAsiaTheme="minorHAnsi" w:hAnsi="Georgia" w:cstheme="minorBidi" w:hint="default"/>
      </w:rPr>
    </w:lvl>
    <w:lvl w:ilvl="1" w:tplc="04060003">
      <w:start w:val="1"/>
      <w:numFmt w:val="bullet"/>
      <w:lvlText w:val="o"/>
      <w:lvlJc w:val="left"/>
      <w:pPr>
        <w:ind w:left="3712" w:hanging="360"/>
      </w:pPr>
      <w:rPr>
        <w:rFonts w:ascii="Courier New" w:hAnsi="Courier New" w:cs="Courier New" w:hint="default"/>
      </w:rPr>
    </w:lvl>
    <w:lvl w:ilvl="2" w:tplc="04060005" w:tentative="1">
      <w:start w:val="1"/>
      <w:numFmt w:val="bullet"/>
      <w:lvlText w:val=""/>
      <w:lvlJc w:val="left"/>
      <w:pPr>
        <w:ind w:left="4432" w:hanging="360"/>
      </w:pPr>
      <w:rPr>
        <w:rFonts w:ascii="Wingdings" w:hAnsi="Wingdings" w:hint="default"/>
      </w:rPr>
    </w:lvl>
    <w:lvl w:ilvl="3" w:tplc="04060001" w:tentative="1">
      <w:start w:val="1"/>
      <w:numFmt w:val="bullet"/>
      <w:lvlText w:val=""/>
      <w:lvlJc w:val="left"/>
      <w:pPr>
        <w:ind w:left="5152" w:hanging="360"/>
      </w:pPr>
      <w:rPr>
        <w:rFonts w:ascii="Symbol" w:hAnsi="Symbol" w:hint="default"/>
      </w:rPr>
    </w:lvl>
    <w:lvl w:ilvl="4" w:tplc="04060003" w:tentative="1">
      <w:start w:val="1"/>
      <w:numFmt w:val="bullet"/>
      <w:lvlText w:val="o"/>
      <w:lvlJc w:val="left"/>
      <w:pPr>
        <w:ind w:left="5872" w:hanging="360"/>
      </w:pPr>
      <w:rPr>
        <w:rFonts w:ascii="Courier New" w:hAnsi="Courier New" w:cs="Courier New" w:hint="default"/>
      </w:rPr>
    </w:lvl>
    <w:lvl w:ilvl="5" w:tplc="04060005" w:tentative="1">
      <w:start w:val="1"/>
      <w:numFmt w:val="bullet"/>
      <w:lvlText w:val=""/>
      <w:lvlJc w:val="left"/>
      <w:pPr>
        <w:ind w:left="6592" w:hanging="360"/>
      </w:pPr>
      <w:rPr>
        <w:rFonts w:ascii="Wingdings" w:hAnsi="Wingdings" w:hint="default"/>
      </w:rPr>
    </w:lvl>
    <w:lvl w:ilvl="6" w:tplc="04060001" w:tentative="1">
      <w:start w:val="1"/>
      <w:numFmt w:val="bullet"/>
      <w:lvlText w:val=""/>
      <w:lvlJc w:val="left"/>
      <w:pPr>
        <w:ind w:left="7312" w:hanging="360"/>
      </w:pPr>
      <w:rPr>
        <w:rFonts w:ascii="Symbol" w:hAnsi="Symbol" w:hint="default"/>
      </w:rPr>
    </w:lvl>
    <w:lvl w:ilvl="7" w:tplc="04060003" w:tentative="1">
      <w:start w:val="1"/>
      <w:numFmt w:val="bullet"/>
      <w:lvlText w:val="o"/>
      <w:lvlJc w:val="left"/>
      <w:pPr>
        <w:ind w:left="8032" w:hanging="360"/>
      </w:pPr>
      <w:rPr>
        <w:rFonts w:ascii="Courier New" w:hAnsi="Courier New" w:cs="Courier New" w:hint="default"/>
      </w:rPr>
    </w:lvl>
    <w:lvl w:ilvl="8" w:tplc="04060005" w:tentative="1">
      <w:start w:val="1"/>
      <w:numFmt w:val="bullet"/>
      <w:lvlText w:val=""/>
      <w:lvlJc w:val="left"/>
      <w:pPr>
        <w:ind w:left="8752" w:hanging="360"/>
      </w:pPr>
      <w:rPr>
        <w:rFonts w:ascii="Wingdings" w:hAnsi="Wingdings" w:hint="default"/>
      </w:rPr>
    </w:lvl>
  </w:abstractNum>
  <w:abstractNum w:abstractNumId="9" w15:restartNumberingAfterBreak="0">
    <w:nsid w:val="3AC56449"/>
    <w:multiLevelType w:val="multilevel"/>
    <w:tmpl w:val="3B6027A2"/>
    <w:lvl w:ilvl="0">
      <w:start w:val="1"/>
      <w:numFmt w:val="decimal"/>
      <w:lvlText w:val="%1."/>
      <w:lvlJc w:val="left"/>
      <w:pPr>
        <w:tabs>
          <w:tab w:val="num" w:pos="454"/>
        </w:tabs>
        <w:ind w:left="737" w:hanging="283"/>
      </w:pPr>
      <w:rPr>
        <w:rFonts w:hint="default"/>
        <w:color w:val="6E6E6E"/>
      </w:rPr>
    </w:lvl>
    <w:lvl w:ilvl="1">
      <w:start w:val="1"/>
      <w:numFmt w:val="bullet"/>
      <w:lvlText w:val="—"/>
      <w:lvlJc w:val="left"/>
      <w:pPr>
        <w:tabs>
          <w:tab w:val="num" w:pos="738"/>
        </w:tabs>
        <w:ind w:left="1021" w:hanging="283"/>
      </w:pPr>
      <w:rPr>
        <w:rFonts w:ascii="Calibri" w:hAnsi="Calibri" w:hint="default"/>
        <w:color w:val="6E6E6E"/>
      </w:rPr>
    </w:lvl>
    <w:lvl w:ilvl="2">
      <w:start w:val="1"/>
      <w:numFmt w:val="bullet"/>
      <w:lvlText w:val="—"/>
      <w:lvlJc w:val="left"/>
      <w:pPr>
        <w:tabs>
          <w:tab w:val="num" w:pos="1022"/>
        </w:tabs>
        <w:ind w:left="1305" w:hanging="283"/>
      </w:pPr>
      <w:rPr>
        <w:rFonts w:ascii="Calibri" w:hAnsi="Calibri" w:hint="default"/>
        <w:color w:val="6E6E6E"/>
      </w:rPr>
    </w:lvl>
    <w:lvl w:ilvl="3">
      <w:start w:val="1"/>
      <w:numFmt w:val="bullet"/>
      <w:lvlText w:val="—"/>
      <w:lvlJc w:val="left"/>
      <w:pPr>
        <w:tabs>
          <w:tab w:val="num" w:pos="1306"/>
        </w:tabs>
        <w:ind w:left="1589" w:hanging="283"/>
      </w:pPr>
      <w:rPr>
        <w:rFonts w:ascii="Calibri" w:hAnsi="Calibri" w:hint="default"/>
        <w:color w:val="6E6E6E"/>
      </w:rPr>
    </w:lvl>
    <w:lvl w:ilvl="4">
      <w:start w:val="1"/>
      <w:numFmt w:val="bullet"/>
      <w:lvlText w:val="—"/>
      <w:lvlJc w:val="left"/>
      <w:pPr>
        <w:tabs>
          <w:tab w:val="num" w:pos="1590"/>
        </w:tabs>
        <w:ind w:left="1873" w:hanging="283"/>
      </w:pPr>
      <w:rPr>
        <w:rFonts w:ascii="Calibri" w:hAnsi="Calibri" w:hint="default"/>
        <w:color w:val="6E6E6E"/>
      </w:rPr>
    </w:lvl>
    <w:lvl w:ilvl="5">
      <w:start w:val="1"/>
      <w:numFmt w:val="bullet"/>
      <w:lvlText w:val="—"/>
      <w:lvlJc w:val="left"/>
      <w:pPr>
        <w:tabs>
          <w:tab w:val="num" w:pos="1874"/>
        </w:tabs>
        <w:ind w:left="2157" w:hanging="283"/>
      </w:pPr>
      <w:rPr>
        <w:rFonts w:ascii="Calibri" w:hAnsi="Calibri" w:hint="default"/>
        <w:color w:val="6E6E6E"/>
      </w:rPr>
    </w:lvl>
    <w:lvl w:ilvl="6">
      <w:start w:val="1"/>
      <w:numFmt w:val="bullet"/>
      <w:lvlText w:val="—"/>
      <w:lvlJc w:val="left"/>
      <w:pPr>
        <w:tabs>
          <w:tab w:val="num" w:pos="2158"/>
        </w:tabs>
        <w:ind w:left="2441" w:hanging="283"/>
      </w:pPr>
      <w:rPr>
        <w:rFonts w:ascii="Calibri" w:hAnsi="Calibri" w:hint="default"/>
        <w:color w:val="6E6E6E"/>
      </w:rPr>
    </w:lvl>
    <w:lvl w:ilvl="7">
      <w:start w:val="1"/>
      <w:numFmt w:val="bullet"/>
      <w:lvlText w:val="—"/>
      <w:lvlJc w:val="left"/>
      <w:pPr>
        <w:tabs>
          <w:tab w:val="num" w:pos="2442"/>
        </w:tabs>
        <w:ind w:left="2725" w:hanging="283"/>
      </w:pPr>
      <w:rPr>
        <w:rFonts w:ascii="Calibri" w:hAnsi="Calibri" w:hint="default"/>
        <w:color w:val="6E6E6E"/>
      </w:rPr>
    </w:lvl>
    <w:lvl w:ilvl="8">
      <w:start w:val="1"/>
      <w:numFmt w:val="bullet"/>
      <w:lvlText w:val="—"/>
      <w:lvlJc w:val="left"/>
      <w:pPr>
        <w:tabs>
          <w:tab w:val="num" w:pos="2726"/>
        </w:tabs>
        <w:ind w:left="3009" w:hanging="283"/>
      </w:pPr>
      <w:rPr>
        <w:rFonts w:ascii="Calibri" w:hAnsi="Calibri" w:hint="default"/>
        <w:color w:val="6E6E6E"/>
      </w:rPr>
    </w:lvl>
  </w:abstractNum>
  <w:abstractNum w:abstractNumId="10" w15:restartNumberingAfterBreak="0">
    <w:nsid w:val="3F350859"/>
    <w:multiLevelType w:val="hybridMultilevel"/>
    <w:tmpl w:val="1D3C07CC"/>
    <w:lvl w:ilvl="0" w:tplc="5636BF52">
      <w:start w:val="1"/>
      <w:numFmt w:val="decimal"/>
      <w:lvlText w:val="%1."/>
      <w:lvlJc w:val="left"/>
      <w:pPr>
        <w:ind w:left="644" w:hanging="360"/>
      </w:pPr>
    </w:lvl>
    <w:lvl w:ilvl="1" w:tplc="04060019">
      <w:start w:val="1"/>
      <w:numFmt w:val="lowerLetter"/>
      <w:lvlText w:val="%2."/>
      <w:lvlJc w:val="left"/>
      <w:pPr>
        <w:ind w:left="1364" w:hanging="360"/>
      </w:pPr>
    </w:lvl>
    <w:lvl w:ilvl="2" w:tplc="0406001B">
      <w:start w:val="1"/>
      <w:numFmt w:val="lowerRoman"/>
      <w:lvlText w:val="%3."/>
      <w:lvlJc w:val="right"/>
      <w:pPr>
        <w:ind w:left="2084" w:hanging="180"/>
      </w:pPr>
    </w:lvl>
    <w:lvl w:ilvl="3" w:tplc="0406000F">
      <w:start w:val="1"/>
      <w:numFmt w:val="decimal"/>
      <w:lvlText w:val="%4."/>
      <w:lvlJc w:val="left"/>
      <w:pPr>
        <w:ind w:left="2804" w:hanging="360"/>
      </w:pPr>
    </w:lvl>
    <w:lvl w:ilvl="4" w:tplc="04060019">
      <w:start w:val="1"/>
      <w:numFmt w:val="lowerLetter"/>
      <w:lvlText w:val="%5."/>
      <w:lvlJc w:val="left"/>
      <w:pPr>
        <w:ind w:left="3524" w:hanging="360"/>
      </w:pPr>
    </w:lvl>
    <w:lvl w:ilvl="5" w:tplc="0406001B">
      <w:start w:val="1"/>
      <w:numFmt w:val="lowerRoman"/>
      <w:lvlText w:val="%6."/>
      <w:lvlJc w:val="right"/>
      <w:pPr>
        <w:ind w:left="4244" w:hanging="180"/>
      </w:pPr>
    </w:lvl>
    <w:lvl w:ilvl="6" w:tplc="0406000F">
      <w:start w:val="1"/>
      <w:numFmt w:val="decimal"/>
      <w:lvlText w:val="%7."/>
      <w:lvlJc w:val="left"/>
      <w:pPr>
        <w:ind w:left="4964" w:hanging="360"/>
      </w:pPr>
    </w:lvl>
    <w:lvl w:ilvl="7" w:tplc="04060019">
      <w:start w:val="1"/>
      <w:numFmt w:val="lowerLetter"/>
      <w:lvlText w:val="%8."/>
      <w:lvlJc w:val="left"/>
      <w:pPr>
        <w:ind w:left="5684" w:hanging="360"/>
      </w:pPr>
    </w:lvl>
    <w:lvl w:ilvl="8" w:tplc="0406001B">
      <w:start w:val="1"/>
      <w:numFmt w:val="lowerRoman"/>
      <w:lvlText w:val="%9."/>
      <w:lvlJc w:val="right"/>
      <w:pPr>
        <w:ind w:left="6404" w:hanging="180"/>
      </w:pPr>
    </w:lvl>
  </w:abstractNum>
  <w:abstractNum w:abstractNumId="11" w15:restartNumberingAfterBreak="0">
    <w:nsid w:val="3F51475C"/>
    <w:multiLevelType w:val="hybridMultilevel"/>
    <w:tmpl w:val="D158A670"/>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542A69"/>
    <w:multiLevelType w:val="multilevel"/>
    <w:tmpl w:val="A4444216"/>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560CC4"/>
    <w:multiLevelType w:val="hybridMultilevel"/>
    <w:tmpl w:val="D46CF0CC"/>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9E47958"/>
    <w:multiLevelType w:val="hybridMultilevel"/>
    <w:tmpl w:val="EE549C2E"/>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EB14E4"/>
    <w:multiLevelType w:val="hybridMultilevel"/>
    <w:tmpl w:val="2F1EE656"/>
    <w:lvl w:ilvl="0" w:tplc="09B006A6">
      <w:numFmt w:val="bullet"/>
      <w:lvlText w:val="-"/>
      <w:lvlJc w:val="left"/>
      <w:pPr>
        <w:ind w:left="814" w:hanging="360"/>
      </w:pPr>
      <w:rPr>
        <w:rFonts w:ascii="Arial" w:eastAsia="Times New Roman" w:hAnsi="Arial" w:cs="Arial" w:hint="default"/>
      </w:rPr>
    </w:lvl>
    <w:lvl w:ilvl="1" w:tplc="04060003">
      <w:start w:val="1"/>
      <w:numFmt w:val="bullet"/>
      <w:lvlText w:val="o"/>
      <w:lvlJc w:val="left"/>
      <w:pPr>
        <w:ind w:left="1534" w:hanging="360"/>
      </w:pPr>
      <w:rPr>
        <w:rFonts w:ascii="Courier New" w:hAnsi="Courier New" w:cs="Courier New" w:hint="default"/>
      </w:rPr>
    </w:lvl>
    <w:lvl w:ilvl="2" w:tplc="04060005">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abstractNum w:abstractNumId="16" w15:restartNumberingAfterBreak="0">
    <w:nsid w:val="51D65884"/>
    <w:multiLevelType w:val="hybridMultilevel"/>
    <w:tmpl w:val="B77E098C"/>
    <w:lvl w:ilvl="0" w:tplc="74BCD07C">
      <w:start w:val="2"/>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2321470"/>
    <w:multiLevelType w:val="hybridMultilevel"/>
    <w:tmpl w:val="0A769182"/>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934587"/>
    <w:multiLevelType w:val="hybridMultilevel"/>
    <w:tmpl w:val="A50C3C14"/>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6157F1E"/>
    <w:multiLevelType w:val="hybridMultilevel"/>
    <w:tmpl w:val="DD5CA164"/>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87A58AB"/>
    <w:multiLevelType w:val="hybridMultilevel"/>
    <w:tmpl w:val="E12AAB98"/>
    <w:lvl w:ilvl="0" w:tplc="7DA245B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2F0494"/>
    <w:multiLevelType w:val="hybridMultilevel"/>
    <w:tmpl w:val="DDE41C00"/>
    <w:lvl w:ilvl="0" w:tplc="04060003">
      <w:start w:val="1"/>
      <w:numFmt w:val="bullet"/>
      <w:lvlText w:val="o"/>
      <w:lvlJc w:val="left"/>
      <w:pPr>
        <w:ind w:left="1534" w:hanging="360"/>
      </w:pPr>
      <w:rPr>
        <w:rFonts w:ascii="Courier New" w:hAnsi="Courier New" w:cs="Courier New" w:hint="default"/>
      </w:rPr>
    </w:lvl>
    <w:lvl w:ilvl="1" w:tplc="04060003" w:tentative="1">
      <w:start w:val="1"/>
      <w:numFmt w:val="bullet"/>
      <w:lvlText w:val="o"/>
      <w:lvlJc w:val="left"/>
      <w:pPr>
        <w:ind w:left="2254" w:hanging="360"/>
      </w:pPr>
      <w:rPr>
        <w:rFonts w:ascii="Courier New" w:hAnsi="Courier New" w:cs="Courier New" w:hint="default"/>
      </w:rPr>
    </w:lvl>
    <w:lvl w:ilvl="2" w:tplc="04060005" w:tentative="1">
      <w:start w:val="1"/>
      <w:numFmt w:val="bullet"/>
      <w:lvlText w:val=""/>
      <w:lvlJc w:val="left"/>
      <w:pPr>
        <w:ind w:left="2974" w:hanging="360"/>
      </w:pPr>
      <w:rPr>
        <w:rFonts w:ascii="Wingdings" w:hAnsi="Wingdings" w:hint="default"/>
      </w:rPr>
    </w:lvl>
    <w:lvl w:ilvl="3" w:tplc="04060001" w:tentative="1">
      <w:start w:val="1"/>
      <w:numFmt w:val="bullet"/>
      <w:lvlText w:val=""/>
      <w:lvlJc w:val="left"/>
      <w:pPr>
        <w:ind w:left="3694" w:hanging="360"/>
      </w:pPr>
      <w:rPr>
        <w:rFonts w:ascii="Symbol" w:hAnsi="Symbol" w:hint="default"/>
      </w:rPr>
    </w:lvl>
    <w:lvl w:ilvl="4" w:tplc="04060003" w:tentative="1">
      <w:start w:val="1"/>
      <w:numFmt w:val="bullet"/>
      <w:lvlText w:val="o"/>
      <w:lvlJc w:val="left"/>
      <w:pPr>
        <w:ind w:left="4414" w:hanging="360"/>
      </w:pPr>
      <w:rPr>
        <w:rFonts w:ascii="Courier New" w:hAnsi="Courier New" w:cs="Courier New" w:hint="default"/>
      </w:rPr>
    </w:lvl>
    <w:lvl w:ilvl="5" w:tplc="04060005" w:tentative="1">
      <w:start w:val="1"/>
      <w:numFmt w:val="bullet"/>
      <w:lvlText w:val=""/>
      <w:lvlJc w:val="left"/>
      <w:pPr>
        <w:ind w:left="5134" w:hanging="360"/>
      </w:pPr>
      <w:rPr>
        <w:rFonts w:ascii="Wingdings" w:hAnsi="Wingdings" w:hint="default"/>
      </w:rPr>
    </w:lvl>
    <w:lvl w:ilvl="6" w:tplc="04060001" w:tentative="1">
      <w:start w:val="1"/>
      <w:numFmt w:val="bullet"/>
      <w:lvlText w:val=""/>
      <w:lvlJc w:val="left"/>
      <w:pPr>
        <w:ind w:left="5854" w:hanging="360"/>
      </w:pPr>
      <w:rPr>
        <w:rFonts w:ascii="Symbol" w:hAnsi="Symbol" w:hint="default"/>
      </w:rPr>
    </w:lvl>
    <w:lvl w:ilvl="7" w:tplc="04060003" w:tentative="1">
      <w:start w:val="1"/>
      <w:numFmt w:val="bullet"/>
      <w:lvlText w:val="o"/>
      <w:lvlJc w:val="left"/>
      <w:pPr>
        <w:ind w:left="6574" w:hanging="360"/>
      </w:pPr>
      <w:rPr>
        <w:rFonts w:ascii="Courier New" w:hAnsi="Courier New" w:cs="Courier New" w:hint="default"/>
      </w:rPr>
    </w:lvl>
    <w:lvl w:ilvl="8" w:tplc="04060005" w:tentative="1">
      <w:start w:val="1"/>
      <w:numFmt w:val="bullet"/>
      <w:lvlText w:val=""/>
      <w:lvlJc w:val="left"/>
      <w:pPr>
        <w:ind w:left="7294" w:hanging="360"/>
      </w:pPr>
      <w:rPr>
        <w:rFonts w:ascii="Wingdings" w:hAnsi="Wingdings" w:hint="default"/>
      </w:rPr>
    </w:lvl>
  </w:abstractNum>
  <w:abstractNum w:abstractNumId="22" w15:restartNumberingAfterBreak="0">
    <w:nsid w:val="73031031"/>
    <w:multiLevelType w:val="hybridMultilevel"/>
    <w:tmpl w:val="C0342104"/>
    <w:lvl w:ilvl="0" w:tplc="7DA245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0B6CC3"/>
    <w:multiLevelType w:val="multilevel"/>
    <w:tmpl w:val="D41E3604"/>
    <w:lvl w:ilvl="0">
      <w:start w:val="1"/>
      <w:numFmt w:val="decimal"/>
      <w:pStyle w:val="Overskrift1"/>
      <w:suff w:val="space"/>
      <w:lvlText w:val="%1."/>
      <w:lvlJc w:val="left"/>
      <w:pPr>
        <w:ind w:left="0" w:hanging="1049"/>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Overskrift5"/>
      <w:suff w:val="space"/>
      <w:lvlText w:val="%1.%2.%3.%4.%5"/>
      <w:lvlJc w:val="left"/>
      <w:pPr>
        <w:ind w:left="1008" w:hanging="1008"/>
      </w:pPr>
      <w:rPr>
        <w:rFonts w:hint="default"/>
      </w:rPr>
    </w:lvl>
    <w:lvl w:ilvl="5">
      <w:start w:val="1"/>
      <w:numFmt w:val="decimal"/>
      <w:pStyle w:val="Overskrift6"/>
      <w:suff w:val="space"/>
      <w:lvlText w:val="%1.%2.%3.%4.%5.%6"/>
      <w:lvlJc w:val="left"/>
      <w:pPr>
        <w:ind w:left="1152" w:hanging="1152"/>
      </w:pPr>
      <w:rPr>
        <w:rFonts w:hint="default"/>
      </w:rPr>
    </w:lvl>
    <w:lvl w:ilvl="6">
      <w:start w:val="1"/>
      <w:numFmt w:val="decimal"/>
      <w:pStyle w:val="Overskrift7"/>
      <w:suff w:val="space"/>
      <w:lvlText w:val="%1.%2.%3.%4.%5.%6.%7"/>
      <w:lvlJc w:val="left"/>
      <w:pPr>
        <w:ind w:left="1296" w:hanging="1296"/>
      </w:pPr>
      <w:rPr>
        <w:rFonts w:hint="default"/>
      </w:rPr>
    </w:lvl>
    <w:lvl w:ilvl="7">
      <w:start w:val="1"/>
      <w:numFmt w:val="decimal"/>
      <w:pStyle w:val="Overskrift8"/>
      <w:suff w:val="space"/>
      <w:lvlText w:val="%1.%2.%3.%4.%5.%6.%7.%8"/>
      <w:lvlJc w:val="left"/>
      <w:pPr>
        <w:ind w:left="1440" w:hanging="1440"/>
      </w:pPr>
      <w:rPr>
        <w:rFonts w:hint="default"/>
      </w:rPr>
    </w:lvl>
    <w:lvl w:ilvl="8">
      <w:start w:val="1"/>
      <w:numFmt w:val="decimal"/>
      <w:pStyle w:val="Overskrift9"/>
      <w:suff w:val="space"/>
      <w:lvlText w:val="%1.%2.%3.%4.%5.%6.%7.%8.%9"/>
      <w:lvlJc w:val="left"/>
      <w:pPr>
        <w:ind w:left="1584" w:hanging="1584"/>
      </w:pPr>
      <w:rPr>
        <w:rFonts w:hint="default"/>
      </w:rPr>
    </w:lvl>
  </w:abstractNum>
  <w:abstractNum w:abstractNumId="24" w15:restartNumberingAfterBreak="0">
    <w:nsid w:val="7DCB1712"/>
    <w:multiLevelType w:val="hybridMultilevel"/>
    <w:tmpl w:val="B83A2400"/>
    <w:lvl w:ilvl="0" w:tplc="04060003">
      <w:start w:val="1"/>
      <w:numFmt w:val="bullet"/>
      <w:lvlText w:val="o"/>
      <w:lvlJc w:val="left"/>
      <w:pPr>
        <w:ind w:left="1534"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FC02D68"/>
    <w:multiLevelType w:val="multilevel"/>
    <w:tmpl w:val="1046C85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15"/>
  </w:num>
  <w:num w:numId="4">
    <w:abstractNumId w:val="21"/>
  </w:num>
  <w:num w:numId="5">
    <w:abstractNumId w:val="8"/>
  </w:num>
  <w:num w:numId="6">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4"/>
  </w:num>
  <w:num w:numId="10">
    <w:abstractNumId w:val="6"/>
  </w:num>
  <w:num w:numId="11">
    <w:abstractNumId w:val="9"/>
  </w:num>
  <w:num w:numId="12">
    <w:abstractNumId w:val="3"/>
  </w:num>
  <w:num w:numId="13">
    <w:abstractNumId w:val="19"/>
  </w:num>
  <w:num w:numId="14">
    <w:abstractNumId w:val="13"/>
  </w:num>
  <w:num w:numId="15">
    <w:abstractNumId w:val="20"/>
  </w:num>
  <w:num w:numId="16">
    <w:abstractNumId w:val="18"/>
  </w:num>
  <w:num w:numId="17">
    <w:abstractNumId w:val="5"/>
  </w:num>
  <w:num w:numId="18">
    <w:abstractNumId w:val="14"/>
  </w:num>
  <w:num w:numId="19">
    <w:abstractNumId w:val="11"/>
  </w:num>
  <w:num w:numId="20">
    <w:abstractNumId w:val="22"/>
  </w:num>
  <w:num w:numId="21">
    <w:abstractNumId w:val="10"/>
  </w:num>
  <w:num w:numId="22">
    <w:abstractNumId w:val="17"/>
  </w:num>
  <w:num w:numId="23">
    <w:abstractNumId w:val="7"/>
  </w:num>
  <w:num w:numId="24">
    <w:abstractNumId w:val="2"/>
  </w:num>
  <w:num w:numId="25">
    <w:abstractNumId w:val="1"/>
  </w:num>
  <w:num w:numId="26">
    <w:abstractNumId w:val="16"/>
  </w:num>
  <w:num w:numId="27">
    <w:abstractNumId w:val="23"/>
  </w:num>
  <w:num w:numId="28">
    <w:abstractNumId w:val="4"/>
  </w:num>
  <w:num w:numId="2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5D"/>
    <w:rsid w:val="0000070B"/>
    <w:rsid w:val="00001D0D"/>
    <w:rsid w:val="00002174"/>
    <w:rsid w:val="00003186"/>
    <w:rsid w:val="000038F2"/>
    <w:rsid w:val="00004865"/>
    <w:rsid w:val="00006E9C"/>
    <w:rsid w:val="00007141"/>
    <w:rsid w:val="0001151C"/>
    <w:rsid w:val="00012E64"/>
    <w:rsid w:val="00015DDC"/>
    <w:rsid w:val="00015F1E"/>
    <w:rsid w:val="000161A9"/>
    <w:rsid w:val="00016A60"/>
    <w:rsid w:val="00017A4F"/>
    <w:rsid w:val="00026061"/>
    <w:rsid w:val="00026B80"/>
    <w:rsid w:val="00032C75"/>
    <w:rsid w:val="00032D66"/>
    <w:rsid w:val="00032F7B"/>
    <w:rsid w:val="00037676"/>
    <w:rsid w:val="000451E5"/>
    <w:rsid w:val="0004646F"/>
    <w:rsid w:val="00050DB9"/>
    <w:rsid w:val="00052BC8"/>
    <w:rsid w:val="00054A90"/>
    <w:rsid w:val="00055212"/>
    <w:rsid w:val="00055A7E"/>
    <w:rsid w:val="000629B2"/>
    <w:rsid w:val="00067E1A"/>
    <w:rsid w:val="00071383"/>
    <w:rsid w:val="00073CAD"/>
    <w:rsid w:val="00074F70"/>
    <w:rsid w:val="00075636"/>
    <w:rsid w:val="00077F87"/>
    <w:rsid w:val="000815D2"/>
    <w:rsid w:val="00082D71"/>
    <w:rsid w:val="0008338B"/>
    <w:rsid w:val="000852B3"/>
    <w:rsid w:val="0009059E"/>
    <w:rsid w:val="000907CD"/>
    <w:rsid w:val="00091D16"/>
    <w:rsid w:val="00094ABD"/>
    <w:rsid w:val="000954CF"/>
    <w:rsid w:val="000A2047"/>
    <w:rsid w:val="000A5025"/>
    <w:rsid w:val="000B2F9D"/>
    <w:rsid w:val="000B5DE1"/>
    <w:rsid w:val="000B61EA"/>
    <w:rsid w:val="000B61FB"/>
    <w:rsid w:val="000C2437"/>
    <w:rsid w:val="000C4928"/>
    <w:rsid w:val="000C5E91"/>
    <w:rsid w:val="000C6528"/>
    <w:rsid w:val="000C6A8A"/>
    <w:rsid w:val="000C6E52"/>
    <w:rsid w:val="000D1BDA"/>
    <w:rsid w:val="000D3D4F"/>
    <w:rsid w:val="000D4A4B"/>
    <w:rsid w:val="000D4D0B"/>
    <w:rsid w:val="000E560A"/>
    <w:rsid w:val="000E56F6"/>
    <w:rsid w:val="000E692C"/>
    <w:rsid w:val="000E6BB5"/>
    <w:rsid w:val="000F22C4"/>
    <w:rsid w:val="000F63ED"/>
    <w:rsid w:val="000F6995"/>
    <w:rsid w:val="000F7499"/>
    <w:rsid w:val="00102211"/>
    <w:rsid w:val="00104561"/>
    <w:rsid w:val="00107837"/>
    <w:rsid w:val="00111868"/>
    <w:rsid w:val="00114F72"/>
    <w:rsid w:val="00116C52"/>
    <w:rsid w:val="00120343"/>
    <w:rsid w:val="001216EB"/>
    <w:rsid w:val="00121FE6"/>
    <w:rsid w:val="00123094"/>
    <w:rsid w:val="00126D28"/>
    <w:rsid w:val="0013204C"/>
    <w:rsid w:val="0013244F"/>
    <w:rsid w:val="00134CD1"/>
    <w:rsid w:val="00134CE5"/>
    <w:rsid w:val="00135419"/>
    <w:rsid w:val="001362C5"/>
    <w:rsid w:val="00137211"/>
    <w:rsid w:val="00140A11"/>
    <w:rsid w:val="001417A1"/>
    <w:rsid w:val="0014285C"/>
    <w:rsid w:val="001445D5"/>
    <w:rsid w:val="001462D6"/>
    <w:rsid w:val="00146E76"/>
    <w:rsid w:val="001478F6"/>
    <w:rsid w:val="001516B7"/>
    <w:rsid w:val="00151A2F"/>
    <w:rsid w:val="00152AFC"/>
    <w:rsid w:val="00152C06"/>
    <w:rsid w:val="0015464D"/>
    <w:rsid w:val="00157A74"/>
    <w:rsid w:val="00160FD9"/>
    <w:rsid w:val="00172668"/>
    <w:rsid w:val="00172B59"/>
    <w:rsid w:val="001733A9"/>
    <w:rsid w:val="00173877"/>
    <w:rsid w:val="001741C4"/>
    <w:rsid w:val="00174970"/>
    <w:rsid w:val="001802F9"/>
    <w:rsid w:val="0018257E"/>
    <w:rsid w:val="00182651"/>
    <w:rsid w:val="0018290E"/>
    <w:rsid w:val="0018418E"/>
    <w:rsid w:val="001866C1"/>
    <w:rsid w:val="00187124"/>
    <w:rsid w:val="00191875"/>
    <w:rsid w:val="00191C0E"/>
    <w:rsid w:val="001931CB"/>
    <w:rsid w:val="001960E4"/>
    <w:rsid w:val="0019611B"/>
    <w:rsid w:val="001A0925"/>
    <w:rsid w:val="001A3DE2"/>
    <w:rsid w:val="001A7A72"/>
    <w:rsid w:val="001B060D"/>
    <w:rsid w:val="001B2414"/>
    <w:rsid w:val="001B2424"/>
    <w:rsid w:val="001B26DA"/>
    <w:rsid w:val="001B3758"/>
    <w:rsid w:val="001B3977"/>
    <w:rsid w:val="001B3AE6"/>
    <w:rsid w:val="001B5AAC"/>
    <w:rsid w:val="001B7B45"/>
    <w:rsid w:val="001C6CEA"/>
    <w:rsid w:val="001D03BB"/>
    <w:rsid w:val="001D04ED"/>
    <w:rsid w:val="001D1004"/>
    <w:rsid w:val="001D13D4"/>
    <w:rsid w:val="001D2972"/>
    <w:rsid w:val="001D4B3F"/>
    <w:rsid w:val="001D7B06"/>
    <w:rsid w:val="001E2FC7"/>
    <w:rsid w:val="001E4D03"/>
    <w:rsid w:val="001E70B0"/>
    <w:rsid w:val="001E72A5"/>
    <w:rsid w:val="001F45BB"/>
    <w:rsid w:val="001F5F4B"/>
    <w:rsid w:val="001F7DF0"/>
    <w:rsid w:val="00200E5B"/>
    <w:rsid w:val="00204A26"/>
    <w:rsid w:val="002055DA"/>
    <w:rsid w:val="00205DA5"/>
    <w:rsid w:val="00206A9E"/>
    <w:rsid w:val="002071CC"/>
    <w:rsid w:val="00207D2D"/>
    <w:rsid w:val="0021094F"/>
    <w:rsid w:val="0021099F"/>
    <w:rsid w:val="00210F0B"/>
    <w:rsid w:val="002115B5"/>
    <w:rsid w:val="0021246A"/>
    <w:rsid w:val="00214768"/>
    <w:rsid w:val="00217087"/>
    <w:rsid w:val="002170F8"/>
    <w:rsid w:val="00217988"/>
    <w:rsid w:val="00217B23"/>
    <w:rsid w:val="00221364"/>
    <w:rsid w:val="002240F6"/>
    <w:rsid w:val="00227F59"/>
    <w:rsid w:val="00230797"/>
    <w:rsid w:val="002328BE"/>
    <w:rsid w:val="00235454"/>
    <w:rsid w:val="00240E32"/>
    <w:rsid w:val="0024356D"/>
    <w:rsid w:val="00244D70"/>
    <w:rsid w:val="00245120"/>
    <w:rsid w:val="002470FA"/>
    <w:rsid w:val="00252991"/>
    <w:rsid w:val="00253168"/>
    <w:rsid w:val="00257D54"/>
    <w:rsid w:val="00260DA1"/>
    <w:rsid w:val="00261A0A"/>
    <w:rsid w:val="00261A70"/>
    <w:rsid w:val="00266030"/>
    <w:rsid w:val="00271955"/>
    <w:rsid w:val="002777B6"/>
    <w:rsid w:val="0028266E"/>
    <w:rsid w:val="0028292A"/>
    <w:rsid w:val="00283622"/>
    <w:rsid w:val="00284E0B"/>
    <w:rsid w:val="00287642"/>
    <w:rsid w:val="002958E0"/>
    <w:rsid w:val="0029617D"/>
    <w:rsid w:val="002A06F5"/>
    <w:rsid w:val="002A0A4F"/>
    <w:rsid w:val="002A1D49"/>
    <w:rsid w:val="002A6E08"/>
    <w:rsid w:val="002B17E8"/>
    <w:rsid w:val="002B1DEF"/>
    <w:rsid w:val="002B26BC"/>
    <w:rsid w:val="002B3C8A"/>
    <w:rsid w:val="002B4869"/>
    <w:rsid w:val="002B6D49"/>
    <w:rsid w:val="002B7697"/>
    <w:rsid w:val="002C0B7D"/>
    <w:rsid w:val="002C0E0B"/>
    <w:rsid w:val="002C2541"/>
    <w:rsid w:val="002C2699"/>
    <w:rsid w:val="002C34D1"/>
    <w:rsid w:val="002C4D32"/>
    <w:rsid w:val="002D4CB8"/>
    <w:rsid w:val="002D6066"/>
    <w:rsid w:val="002E23B5"/>
    <w:rsid w:val="002E561C"/>
    <w:rsid w:val="002E6C40"/>
    <w:rsid w:val="002E74A4"/>
    <w:rsid w:val="002F2CD0"/>
    <w:rsid w:val="002F3C9A"/>
    <w:rsid w:val="002F7D8A"/>
    <w:rsid w:val="00302CE6"/>
    <w:rsid w:val="003044AF"/>
    <w:rsid w:val="0030472A"/>
    <w:rsid w:val="00307094"/>
    <w:rsid w:val="00310FE5"/>
    <w:rsid w:val="00311952"/>
    <w:rsid w:val="00311B60"/>
    <w:rsid w:val="00312872"/>
    <w:rsid w:val="00312885"/>
    <w:rsid w:val="00314E48"/>
    <w:rsid w:val="00316086"/>
    <w:rsid w:val="00317847"/>
    <w:rsid w:val="0032036C"/>
    <w:rsid w:val="0032065F"/>
    <w:rsid w:val="003219E9"/>
    <w:rsid w:val="00322AE9"/>
    <w:rsid w:val="003254FD"/>
    <w:rsid w:val="0032645D"/>
    <w:rsid w:val="00330E72"/>
    <w:rsid w:val="003312CE"/>
    <w:rsid w:val="00331E62"/>
    <w:rsid w:val="00332DE0"/>
    <w:rsid w:val="003330F7"/>
    <w:rsid w:val="00344B0A"/>
    <w:rsid w:val="00351FB5"/>
    <w:rsid w:val="00353C05"/>
    <w:rsid w:val="003541A2"/>
    <w:rsid w:val="00367A75"/>
    <w:rsid w:val="00370682"/>
    <w:rsid w:val="00371E01"/>
    <w:rsid w:val="00373BDD"/>
    <w:rsid w:val="00377547"/>
    <w:rsid w:val="00380A1D"/>
    <w:rsid w:val="00380FB8"/>
    <w:rsid w:val="00382494"/>
    <w:rsid w:val="00383C1A"/>
    <w:rsid w:val="00383DF0"/>
    <w:rsid w:val="00387FC4"/>
    <w:rsid w:val="003957BA"/>
    <w:rsid w:val="0039698C"/>
    <w:rsid w:val="0039724B"/>
    <w:rsid w:val="00397269"/>
    <w:rsid w:val="003A02E3"/>
    <w:rsid w:val="003A2C62"/>
    <w:rsid w:val="003A2F7D"/>
    <w:rsid w:val="003A3E1D"/>
    <w:rsid w:val="003A3FA8"/>
    <w:rsid w:val="003A5241"/>
    <w:rsid w:val="003A5967"/>
    <w:rsid w:val="003A63B8"/>
    <w:rsid w:val="003A7BC8"/>
    <w:rsid w:val="003B35B0"/>
    <w:rsid w:val="003B3CAF"/>
    <w:rsid w:val="003B53B2"/>
    <w:rsid w:val="003B548E"/>
    <w:rsid w:val="003B66D2"/>
    <w:rsid w:val="003C2D6D"/>
    <w:rsid w:val="003C3521"/>
    <w:rsid w:val="003C4F9F"/>
    <w:rsid w:val="003C60F1"/>
    <w:rsid w:val="003C6305"/>
    <w:rsid w:val="003C691C"/>
    <w:rsid w:val="003D0D85"/>
    <w:rsid w:val="003D3225"/>
    <w:rsid w:val="003D32EF"/>
    <w:rsid w:val="003D60EC"/>
    <w:rsid w:val="003E20D9"/>
    <w:rsid w:val="003E3552"/>
    <w:rsid w:val="003E4E29"/>
    <w:rsid w:val="003F0333"/>
    <w:rsid w:val="003F0DEE"/>
    <w:rsid w:val="003F1B29"/>
    <w:rsid w:val="003F2142"/>
    <w:rsid w:val="003F73F0"/>
    <w:rsid w:val="003F7528"/>
    <w:rsid w:val="00401F5C"/>
    <w:rsid w:val="004020DC"/>
    <w:rsid w:val="00402D42"/>
    <w:rsid w:val="004050D3"/>
    <w:rsid w:val="00405115"/>
    <w:rsid w:val="004061FC"/>
    <w:rsid w:val="00407C93"/>
    <w:rsid w:val="00412665"/>
    <w:rsid w:val="00414446"/>
    <w:rsid w:val="00420822"/>
    <w:rsid w:val="00424709"/>
    <w:rsid w:val="004259E2"/>
    <w:rsid w:val="004301F7"/>
    <w:rsid w:val="0043787F"/>
    <w:rsid w:val="00437F90"/>
    <w:rsid w:val="00440CA9"/>
    <w:rsid w:val="0044141D"/>
    <w:rsid w:val="004418D1"/>
    <w:rsid w:val="00441EFE"/>
    <w:rsid w:val="004459A6"/>
    <w:rsid w:val="00446BA2"/>
    <w:rsid w:val="004500BA"/>
    <w:rsid w:val="00452236"/>
    <w:rsid w:val="004532F1"/>
    <w:rsid w:val="00456880"/>
    <w:rsid w:val="00474F09"/>
    <w:rsid w:val="00480062"/>
    <w:rsid w:val="004815DC"/>
    <w:rsid w:val="00482586"/>
    <w:rsid w:val="004878E6"/>
    <w:rsid w:val="00490C36"/>
    <w:rsid w:val="00492032"/>
    <w:rsid w:val="0049585A"/>
    <w:rsid w:val="004A03E6"/>
    <w:rsid w:val="004A780D"/>
    <w:rsid w:val="004B15B3"/>
    <w:rsid w:val="004B25FC"/>
    <w:rsid w:val="004B27A2"/>
    <w:rsid w:val="004B366E"/>
    <w:rsid w:val="004B4867"/>
    <w:rsid w:val="004B4E81"/>
    <w:rsid w:val="004B6ACB"/>
    <w:rsid w:val="004C01B2"/>
    <w:rsid w:val="004C1489"/>
    <w:rsid w:val="004C4744"/>
    <w:rsid w:val="004C4802"/>
    <w:rsid w:val="004C6987"/>
    <w:rsid w:val="004C7AB2"/>
    <w:rsid w:val="004D0C32"/>
    <w:rsid w:val="004D4BC8"/>
    <w:rsid w:val="004D61BC"/>
    <w:rsid w:val="004D69FA"/>
    <w:rsid w:val="004D6CF5"/>
    <w:rsid w:val="004E2FB1"/>
    <w:rsid w:val="004F1357"/>
    <w:rsid w:val="004F3663"/>
    <w:rsid w:val="004F5C21"/>
    <w:rsid w:val="005043C2"/>
    <w:rsid w:val="00510132"/>
    <w:rsid w:val="00511E13"/>
    <w:rsid w:val="00513269"/>
    <w:rsid w:val="00521DA3"/>
    <w:rsid w:val="005243F4"/>
    <w:rsid w:val="0052443E"/>
    <w:rsid w:val="005245B2"/>
    <w:rsid w:val="00525930"/>
    <w:rsid w:val="00526668"/>
    <w:rsid w:val="00527249"/>
    <w:rsid w:val="00533976"/>
    <w:rsid w:val="00536E2F"/>
    <w:rsid w:val="00536E81"/>
    <w:rsid w:val="00536ECA"/>
    <w:rsid w:val="00545E26"/>
    <w:rsid w:val="00552C14"/>
    <w:rsid w:val="00553D50"/>
    <w:rsid w:val="005545F5"/>
    <w:rsid w:val="00554785"/>
    <w:rsid w:val="00555FCB"/>
    <w:rsid w:val="00556093"/>
    <w:rsid w:val="00560C5E"/>
    <w:rsid w:val="00560E6E"/>
    <w:rsid w:val="00561B99"/>
    <w:rsid w:val="00563525"/>
    <w:rsid w:val="00563824"/>
    <w:rsid w:val="00564EE1"/>
    <w:rsid w:val="00564F93"/>
    <w:rsid w:val="005707C1"/>
    <w:rsid w:val="00575FD8"/>
    <w:rsid w:val="0058251A"/>
    <w:rsid w:val="00585A21"/>
    <w:rsid w:val="0058674B"/>
    <w:rsid w:val="00586E56"/>
    <w:rsid w:val="00592266"/>
    <w:rsid w:val="00595C87"/>
    <w:rsid w:val="00597D44"/>
    <w:rsid w:val="005A1EFF"/>
    <w:rsid w:val="005A28D4"/>
    <w:rsid w:val="005A348B"/>
    <w:rsid w:val="005A4F98"/>
    <w:rsid w:val="005A5A18"/>
    <w:rsid w:val="005B1525"/>
    <w:rsid w:val="005B5D4F"/>
    <w:rsid w:val="005B69B1"/>
    <w:rsid w:val="005B7F80"/>
    <w:rsid w:val="005C11B4"/>
    <w:rsid w:val="005C35E6"/>
    <w:rsid w:val="005C5F97"/>
    <w:rsid w:val="005D046F"/>
    <w:rsid w:val="005D1E2C"/>
    <w:rsid w:val="005D4D47"/>
    <w:rsid w:val="005D540D"/>
    <w:rsid w:val="005E0E5F"/>
    <w:rsid w:val="005E2475"/>
    <w:rsid w:val="005E2816"/>
    <w:rsid w:val="005E2DD5"/>
    <w:rsid w:val="005E3E29"/>
    <w:rsid w:val="005E4929"/>
    <w:rsid w:val="005E6745"/>
    <w:rsid w:val="005E6F6C"/>
    <w:rsid w:val="005F1580"/>
    <w:rsid w:val="005F1EA3"/>
    <w:rsid w:val="005F3ED8"/>
    <w:rsid w:val="005F6D6F"/>
    <w:rsid w:val="005F756B"/>
    <w:rsid w:val="005F79ED"/>
    <w:rsid w:val="005F7C7B"/>
    <w:rsid w:val="0060134E"/>
    <w:rsid w:val="00602464"/>
    <w:rsid w:val="00602BF2"/>
    <w:rsid w:val="00602F41"/>
    <w:rsid w:val="00602F5B"/>
    <w:rsid w:val="00603155"/>
    <w:rsid w:val="00606D5F"/>
    <w:rsid w:val="0061398D"/>
    <w:rsid w:val="00615902"/>
    <w:rsid w:val="00616AC5"/>
    <w:rsid w:val="00616AF5"/>
    <w:rsid w:val="00617908"/>
    <w:rsid w:val="00627333"/>
    <w:rsid w:val="00627A10"/>
    <w:rsid w:val="00632B24"/>
    <w:rsid w:val="00633E65"/>
    <w:rsid w:val="00634E08"/>
    <w:rsid w:val="0063503A"/>
    <w:rsid w:val="00636FE7"/>
    <w:rsid w:val="00637818"/>
    <w:rsid w:val="00641470"/>
    <w:rsid w:val="00645585"/>
    <w:rsid w:val="00646472"/>
    <w:rsid w:val="00650E13"/>
    <w:rsid w:val="00655B49"/>
    <w:rsid w:val="00657B87"/>
    <w:rsid w:val="00660B94"/>
    <w:rsid w:val="00662E20"/>
    <w:rsid w:val="006637D7"/>
    <w:rsid w:val="0066677A"/>
    <w:rsid w:val="00666826"/>
    <w:rsid w:val="00666C93"/>
    <w:rsid w:val="006679D9"/>
    <w:rsid w:val="0067124A"/>
    <w:rsid w:val="00673A02"/>
    <w:rsid w:val="00673F83"/>
    <w:rsid w:val="00675D03"/>
    <w:rsid w:val="00681112"/>
    <w:rsid w:val="00681251"/>
    <w:rsid w:val="00681D83"/>
    <w:rsid w:val="00682B50"/>
    <w:rsid w:val="0068306F"/>
    <w:rsid w:val="00684697"/>
    <w:rsid w:val="00685F71"/>
    <w:rsid w:val="006900C2"/>
    <w:rsid w:val="00691B78"/>
    <w:rsid w:val="006932CC"/>
    <w:rsid w:val="0069435D"/>
    <w:rsid w:val="00695AFE"/>
    <w:rsid w:val="00697392"/>
    <w:rsid w:val="00697964"/>
    <w:rsid w:val="006A10C8"/>
    <w:rsid w:val="006A2F14"/>
    <w:rsid w:val="006A381E"/>
    <w:rsid w:val="006A5098"/>
    <w:rsid w:val="006B0DDA"/>
    <w:rsid w:val="006B1C3E"/>
    <w:rsid w:val="006B30A9"/>
    <w:rsid w:val="006C1E2F"/>
    <w:rsid w:val="006C2692"/>
    <w:rsid w:val="006C26B5"/>
    <w:rsid w:val="006C3639"/>
    <w:rsid w:val="006C6B25"/>
    <w:rsid w:val="006C6DE2"/>
    <w:rsid w:val="006D1C50"/>
    <w:rsid w:val="006D3AD1"/>
    <w:rsid w:val="006D3D7A"/>
    <w:rsid w:val="006D4ECE"/>
    <w:rsid w:val="006D5178"/>
    <w:rsid w:val="006D601C"/>
    <w:rsid w:val="006D65C6"/>
    <w:rsid w:val="006E18F1"/>
    <w:rsid w:val="006F0BAA"/>
    <w:rsid w:val="006F5B5B"/>
    <w:rsid w:val="006F6F92"/>
    <w:rsid w:val="0070126A"/>
    <w:rsid w:val="007015D3"/>
    <w:rsid w:val="0070267E"/>
    <w:rsid w:val="007039D0"/>
    <w:rsid w:val="0070473A"/>
    <w:rsid w:val="0070531C"/>
    <w:rsid w:val="00706E32"/>
    <w:rsid w:val="00711F6C"/>
    <w:rsid w:val="00712DEE"/>
    <w:rsid w:val="007251A1"/>
    <w:rsid w:val="00725EBF"/>
    <w:rsid w:val="007277A1"/>
    <w:rsid w:val="00734693"/>
    <w:rsid w:val="0074137C"/>
    <w:rsid w:val="00741745"/>
    <w:rsid w:val="007458A8"/>
    <w:rsid w:val="007466D0"/>
    <w:rsid w:val="00746E96"/>
    <w:rsid w:val="007546AF"/>
    <w:rsid w:val="00755274"/>
    <w:rsid w:val="007577D2"/>
    <w:rsid w:val="007637F6"/>
    <w:rsid w:val="00763CB5"/>
    <w:rsid w:val="00764959"/>
    <w:rsid w:val="00765934"/>
    <w:rsid w:val="00765FA3"/>
    <w:rsid w:val="0077012B"/>
    <w:rsid w:val="007705B8"/>
    <w:rsid w:val="00770FB7"/>
    <w:rsid w:val="00774684"/>
    <w:rsid w:val="00776EE8"/>
    <w:rsid w:val="0078083E"/>
    <w:rsid w:val="00781E32"/>
    <w:rsid w:val="007847FB"/>
    <w:rsid w:val="0078503A"/>
    <w:rsid w:val="007861FB"/>
    <w:rsid w:val="007928F2"/>
    <w:rsid w:val="0079296B"/>
    <w:rsid w:val="00793EA1"/>
    <w:rsid w:val="0079475C"/>
    <w:rsid w:val="00796CF6"/>
    <w:rsid w:val="00797466"/>
    <w:rsid w:val="007A063D"/>
    <w:rsid w:val="007A08F3"/>
    <w:rsid w:val="007A2636"/>
    <w:rsid w:val="007A6B50"/>
    <w:rsid w:val="007B4C97"/>
    <w:rsid w:val="007B5E8A"/>
    <w:rsid w:val="007C0ADF"/>
    <w:rsid w:val="007C1BB4"/>
    <w:rsid w:val="007C26FF"/>
    <w:rsid w:val="007C460C"/>
    <w:rsid w:val="007C585D"/>
    <w:rsid w:val="007C6A5D"/>
    <w:rsid w:val="007D0FE2"/>
    <w:rsid w:val="007D519A"/>
    <w:rsid w:val="007D5323"/>
    <w:rsid w:val="007D6B4E"/>
    <w:rsid w:val="007E2445"/>
    <w:rsid w:val="007E3061"/>
    <w:rsid w:val="007E373C"/>
    <w:rsid w:val="007E3DF7"/>
    <w:rsid w:val="007F1F5F"/>
    <w:rsid w:val="007F3D07"/>
    <w:rsid w:val="007F5473"/>
    <w:rsid w:val="007F5512"/>
    <w:rsid w:val="00801281"/>
    <w:rsid w:val="00803373"/>
    <w:rsid w:val="008054F3"/>
    <w:rsid w:val="00811CDB"/>
    <w:rsid w:val="0081290E"/>
    <w:rsid w:val="00817895"/>
    <w:rsid w:val="00817B9C"/>
    <w:rsid w:val="00823852"/>
    <w:rsid w:val="00826A9B"/>
    <w:rsid w:val="0083054B"/>
    <w:rsid w:val="0083297C"/>
    <w:rsid w:val="00832C44"/>
    <w:rsid w:val="00834962"/>
    <w:rsid w:val="0083514E"/>
    <w:rsid w:val="008373BA"/>
    <w:rsid w:val="008403BD"/>
    <w:rsid w:val="00840800"/>
    <w:rsid w:val="008412D0"/>
    <w:rsid w:val="008427BA"/>
    <w:rsid w:val="0084571E"/>
    <w:rsid w:val="00846564"/>
    <w:rsid w:val="0085164A"/>
    <w:rsid w:val="00855AB5"/>
    <w:rsid w:val="00860455"/>
    <w:rsid w:val="0086364A"/>
    <w:rsid w:val="0086483D"/>
    <w:rsid w:val="008658F6"/>
    <w:rsid w:val="00871FD6"/>
    <w:rsid w:val="008750E9"/>
    <w:rsid w:val="00876E9D"/>
    <w:rsid w:val="00880F1E"/>
    <w:rsid w:val="00881B92"/>
    <w:rsid w:val="00883A5D"/>
    <w:rsid w:val="00883F04"/>
    <w:rsid w:val="008841B6"/>
    <w:rsid w:val="00885AFD"/>
    <w:rsid w:val="00887D77"/>
    <w:rsid w:val="008927E4"/>
    <w:rsid w:val="00892D08"/>
    <w:rsid w:val="00893791"/>
    <w:rsid w:val="008962DB"/>
    <w:rsid w:val="0089695F"/>
    <w:rsid w:val="00897A0E"/>
    <w:rsid w:val="008B18B4"/>
    <w:rsid w:val="008B1CDD"/>
    <w:rsid w:val="008B2988"/>
    <w:rsid w:val="008B58DC"/>
    <w:rsid w:val="008B6248"/>
    <w:rsid w:val="008B76C8"/>
    <w:rsid w:val="008C0E92"/>
    <w:rsid w:val="008C1955"/>
    <w:rsid w:val="008C1B4B"/>
    <w:rsid w:val="008C44C9"/>
    <w:rsid w:val="008C4DC0"/>
    <w:rsid w:val="008C611B"/>
    <w:rsid w:val="008C6481"/>
    <w:rsid w:val="008C6EAC"/>
    <w:rsid w:val="008D03CA"/>
    <w:rsid w:val="008D0AEB"/>
    <w:rsid w:val="008D62C2"/>
    <w:rsid w:val="008D7B11"/>
    <w:rsid w:val="008E05EF"/>
    <w:rsid w:val="008E40D2"/>
    <w:rsid w:val="008E5A6D"/>
    <w:rsid w:val="008E665C"/>
    <w:rsid w:val="008E7708"/>
    <w:rsid w:val="008F04E2"/>
    <w:rsid w:val="008F0F67"/>
    <w:rsid w:val="008F10CB"/>
    <w:rsid w:val="008F32DF"/>
    <w:rsid w:val="008F375C"/>
    <w:rsid w:val="008F3BE1"/>
    <w:rsid w:val="008F4D20"/>
    <w:rsid w:val="008F4EED"/>
    <w:rsid w:val="008F7846"/>
    <w:rsid w:val="00901C0A"/>
    <w:rsid w:val="00904810"/>
    <w:rsid w:val="00906307"/>
    <w:rsid w:val="00906EE9"/>
    <w:rsid w:val="00907154"/>
    <w:rsid w:val="0091220A"/>
    <w:rsid w:val="00913DD3"/>
    <w:rsid w:val="00917B1E"/>
    <w:rsid w:val="00917D3C"/>
    <w:rsid w:val="00922FF2"/>
    <w:rsid w:val="00923184"/>
    <w:rsid w:val="00925A80"/>
    <w:rsid w:val="009268D8"/>
    <w:rsid w:val="00926DDB"/>
    <w:rsid w:val="00931EC1"/>
    <w:rsid w:val="009358C9"/>
    <w:rsid w:val="00935A8E"/>
    <w:rsid w:val="00945C34"/>
    <w:rsid w:val="00945FC3"/>
    <w:rsid w:val="009467D5"/>
    <w:rsid w:val="00951B25"/>
    <w:rsid w:val="00953464"/>
    <w:rsid w:val="0096087F"/>
    <w:rsid w:val="00961400"/>
    <w:rsid w:val="00961DF5"/>
    <w:rsid w:val="0096675A"/>
    <w:rsid w:val="009711B1"/>
    <w:rsid w:val="00972101"/>
    <w:rsid w:val="009729AE"/>
    <w:rsid w:val="00975D39"/>
    <w:rsid w:val="00983B74"/>
    <w:rsid w:val="00984A25"/>
    <w:rsid w:val="00984CC3"/>
    <w:rsid w:val="00987B0C"/>
    <w:rsid w:val="00990263"/>
    <w:rsid w:val="00991E87"/>
    <w:rsid w:val="009944BF"/>
    <w:rsid w:val="009A2336"/>
    <w:rsid w:val="009A4CCC"/>
    <w:rsid w:val="009B09B7"/>
    <w:rsid w:val="009B0CE6"/>
    <w:rsid w:val="009B284C"/>
    <w:rsid w:val="009B4E83"/>
    <w:rsid w:val="009B5D1E"/>
    <w:rsid w:val="009B5E96"/>
    <w:rsid w:val="009B614D"/>
    <w:rsid w:val="009B6D3C"/>
    <w:rsid w:val="009B7660"/>
    <w:rsid w:val="009B7DB5"/>
    <w:rsid w:val="009C0CCD"/>
    <w:rsid w:val="009C2D35"/>
    <w:rsid w:val="009C3057"/>
    <w:rsid w:val="009C453E"/>
    <w:rsid w:val="009C69CE"/>
    <w:rsid w:val="009C6B4A"/>
    <w:rsid w:val="009D6F2C"/>
    <w:rsid w:val="009D7CE9"/>
    <w:rsid w:val="009E4B94"/>
    <w:rsid w:val="009E6925"/>
    <w:rsid w:val="009F14ED"/>
    <w:rsid w:val="009F2822"/>
    <w:rsid w:val="009F3033"/>
    <w:rsid w:val="009F42B5"/>
    <w:rsid w:val="009F6A60"/>
    <w:rsid w:val="009F7629"/>
    <w:rsid w:val="00A01FCD"/>
    <w:rsid w:val="00A03D77"/>
    <w:rsid w:val="00A0483C"/>
    <w:rsid w:val="00A060A3"/>
    <w:rsid w:val="00A07A72"/>
    <w:rsid w:val="00A124E0"/>
    <w:rsid w:val="00A1431A"/>
    <w:rsid w:val="00A16512"/>
    <w:rsid w:val="00A1717C"/>
    <w:rsid w:val="00A179F7"/>
    <w:rsid w:val="00A2034B"/>
    <w:rsid w:val="00A20F86"/>
    <w:rsid w:val="00A21B16"/>
    <w:rsid w:val="00A2353D"/>
    <w:rsid w:val="00A23E55"/>
    <w:rsid w:val="00A25414"/>
    <w:rsid w:val="00A25BD1"/>
    <w:rsid w:val="00A26AE4"/>
    <w:rsid w:val="00A27035"/>
    <w:rsid w:val="00A27383"/>
    <w:rsid w:val="00A3280C"/>
    <w:rsid w:val="00A332D7"/>
    <w:rsid w:val="00A33418"/>
    <w:rsid w:val="00A34BA0"/>
    <w:rsid w:val="00A43EA4"/>
    <w:rsid w:val="00A46BAD"/>
    <w:rsid w:val="00A472CA"/>
    <w:rsid w:val="00A533E4"/>
    <w:rsid w:val="00A544CC"/>
    <w:rsid w:val="00A65442"/>
    <w:rsid w:val="00A677A9"/>
    <w:rsid w:val="00A74B2B"/>
    <w:rsid w:val="00A7575A"/>
    <w:rsid w:val="00A75886"/>
    <w:rsid w:val="00A77546"/>
    <w:rsid w:val="00A807DF"/>
    <w:rsid w:val="00A818E7"/>
    <w:rsid w:val="00A81F2B"/>
    <w:rsid w:val="00A82442"/>
    <w:rsid w:val="00A8281A"/>
    <w:rsid w:val="00A82975"/>
    <w:rsid w:val="00A87730"/>
    <w:rsid w:val="00A91FD0"/>
    <w:rsid w:val="00A94006"/>
    <w:rsid w:val="00A94639"/>
    <w:rsid w:val="00A95CA6"/>
    <w:rsid w:val="00A96B14"/>
    <w:rsid w:val="00A9760C"/>
    <w:rsid w:val="00A97A91"/>
    <w:rsid w:val="00AA0331"/>
    <w:rsid w:val="00AA0955"/>
    <w:rsid w:val="00AA0F59"/>
    <w:rsid w:val="00AA1A30"/>
    <w:rsid w:val="00AA2721"/>
    <w:rsid w:val="00AA30FD"/>
    <w:rsid w:val="00AA32A1"/>
    <w:rsid w:val="00AA3525"/>
    <w:rsid w:val="00AA4474"/>
    <w:rsid w:val="00AA4C45"/>
    <w:rsid w:val="00AA4CCB"/>
    <w:rsid w:val="00AA6BE9"/>
    <w:rsid w:val="00AB1F51"/>
    <w:rsid w:val="00AB2AD0"/>
    <w:rsid w:val="00AB323C"/>
    <w:rsid w:val="00AB4161"/>
    <w:rsid w:val="00AB641E"/>
    <w:rsid w:val="00AB763D"/>
    <w:rsid w:val="00AC34BB"/>
    <w:rsid w:val="00AC44F2"/>
    <w:rsid w:val="00AC4F46"/>
    <w:rsid w:val="00AC53C1"/>
    <w:rsid w:val="00AD61C5"/>
    <w:rsid w:val="00AE0F3A"/>
    <w:rsid w:val="00AE0FD2"/>
    <w:rsid w:val="00AE11B9"/>
    <w:rsid w:val="00AE53A4"/>
    <w:rsid w:val="00AE792E"/>
    <w:rsid w:val="00AF1D02"/>
    <w:rsid w:val="00AF30CF"/>
    <w:rsid w:val="00AF3B53"/>
    <w:rsid w:val="00AF7789"/>
    <w:rsid w:val="00B00638"/>
    <w:rsid w:val="00B00D92"/>
    <w:rsid w:val="00B02E30"/>
    <w:rsid w:val="00B0301C"/>
    <w:rsid w:val="00B03085"/>
    <w:rsid w:val="00B11A28"/>
    <w:rsid w:val="00B12063"/>
    <w:rsid w:val="00B13869"/>
    <w:rsid w:val="00B14946"/>
    <w:rsid w:val="00B2388B"/>
    <w:rsid w:val="00B24962"/>
    <w:rsid w:val="00B25B6A"/>
    <w:rsid w:val="00B25F25"/>
    <w:rsid w:val="00B30BE6"/>
    <w:rsid w:val="00B31E69"/>
    <w:rsid w:val="00B34B2D"/>
    <w:rsid w:val="00B35A7A"/>
    <w:rsid w:val="00B40285"/>
    <w:rsid w:val="00B40EA5"/>
    <w:rsid w:val="00B42553"/>
    <w:rsid w:val="00B44D68"/>
    <w:rsid w:val="00B45B9D"/>
    <w:rsid w:val="00B53672"/>
    <w:rsid w:val="00B546E5"/>
    <w:rsid w:val="00B56D11"/>
    <w:rsid w:val="00B601EF"/>
    <w:rsid w:val="00B62A09"/>
    <w:rsid w:val="00B63334"/>
    <w:rsid w:val="00B64A9A"/>
    <w:rsid w:val="00B66A65"/>
    <w:rsid w:val="00B6717F"/>
    <w:rsid w:val="00B7097A"/>
    <w:rsid w:val="00B724CC"/>
    <w:rsid w:val="00B74202"/>
    <w:rsid w:val="00B7531F"/>
    <w:rsid w:val="00B75617"/>
    <w:rsid w:val="00B76367"/>
    <w:rsid w:val="00B77177"/>
    <w:rsid w:val="00B7726D"/>
    <w:rsid w:val="00B77B9D"/>
    <w:rsid w:val="00B809B9"/>
    <w:rsid w:val="00B81095"/>
    <w:rsid w:val="00B873CE"/>
    <w:rsid w:val="00B90692"/>
    <w:rsid w:val="00B919C1"/>
    <w:rsid w:val="00B9210B"/>
    <w:rsid w:val="00B92C1A"/>
    <w:rsid w:val="00B92E41"/>
    <w:rsid w:val="00BA09AA"/>
    <w:rsid w:val="00BA5BF1"/>
    <w:rsid w:val="00BB0B37"/>
    <w:rsid w:val="00BB1259"/>
    <w:rsid w:val="00BB183D"/>
    <w:rsid w:val="00BB3E28"/>
    <w:rsid w:val="00BB4255"/>
    <w:rsid w:val="00BB4829"/>
    <w:rsid w:val="00BB758A"/>
    <w:rsid w:val="00BC1165"/>
    <w:rsid w:val="00BC16DA"/>
    <w:rsid w:val="00BC2D26"/>
    <w:rsid w:val="00BC31BB"/>
    <w:rsid w:val="00BC791E"/>
    <w:rsid w:val="00BD006E"/>
    <w:rsid w:val="00BD6E42"/>
    <w:rsid w:val="00BE09B9"/>
    <w:rsid w:val="00BE39EF"/>
    <w:rsid w:val="00BE3A72"/>
    <w:rsid w:val="00BE5334"/>
    <w:rsid w:val="00BE5F9B"/>
    <w:rsid w:val="00BF0328"/>
    <w:rsid w:val="00BF0837"/>
    <w:rsid w:val="00BF1636"/>
    <w:rsid w:val="00BF19E9"/>
    <w:rsid w:val="00BF1A0D"/>
    <w:rsid w:val="00BF7504"/>
    <w:rsid w:val="00C00C8E"/>
    <w:rsid w:val="00C014F8"/>
    <w:rsid w:val="00C05681"/>
    <w:rsid w:val="00C0723A"/>
    <w:rsid w:val="00C10557"/>
    <w:rsid w:val="00C10727"/>
    <w:rsid w:val="00C11E83"/>
    <w:rsid w:val="00C131A9"/>
    <w:rsid w:val="00C14DA5"/>
    <w:rsid w:val="00C1538A"/>
    <w:rsid w:val="00C167E0"/>
    <w:rsid w:val="00C20326"/>
    <w:rsid w:val="00C20AF6"/>
    <w:rsid w:val="00C23F9E"/>
    <w:rsid w:val="00C248D5"/>
    <w:rsid w:val="00C25713"/>
    <w:rsid w:val="00C309A4"/>
    <w:rsid w:val="00C321B4"/>
    <w:rsid w:val="00C323BB"/>
    <w:rsid w:val="00C34439"/>
    <w:rsid w:val="00C34E10"/>
    <w:rsid w:val="00C36E3C"/>
    <w:rsid w:val="00C40D61"/>
    <w:rsid w:val="00C4227E"/>
    <w:rsid w:val="00C43D4C"/>
    <w:rsid w:val="00C47657"/>
    <w:rsid w:val="00C50A4F"/>
    <w:rsid w:val="00C512A7"/>
    <w:rsid w:val="00C51B85"/>
    <w:rsid w:val="00C5254F"/>
    <w:rsid w:val="00C527E1"/>
    <w:rsid w:val="00C60AE8"/>
    <w:rsid w:val="00C64769"/>
    <w:rsid w:val="00C67714"/>
    <w:rsid w:val="00C67BE8"/>
    <w:rsid w:val="00C73653"/>
    <w:rsid w:val="00C76BD2"/>
    <w:rsid w:val="00C80D70"/>
    <w:rsid w:val="00C81E01"/>
    <w:rsid w:val="00C86AF7"/>
    <w:rsid w:val="00C8707D"/>
    <w:rsid w:val="00C905FC"/>
    <w:rsid w:val="00C93920"/>
    <w:rsid w:val="00C94EA2"/>
    <w:rsid w:val="00C959DF"/>
    <w:rsid w:val="00C96AB7"/>
    <w:rsid w:val="00CA05AA"/>
    <w:rsid w:val="00CA180F"/>
    <w:rsid w:val="00CA2970"/>
    <w:rsid w:val="00CA31A3"/>
    <w:rsid w:val="00CA4771"/>
    <w:rsid w:val="00CA5D37"/>
    <w:rsid w:val="00CA7D00"/>
    <w:rsid w:val="00CB1335"/>
    <w:rsid w:val="00CB13D5"/>
    <w:rsid w:val="00CB62A9"/>
    <w:rsid w:val="00CC0111"/>
    <w:rsid w:val="00CC077C"/>
    <w:rsid w:val="00CC0F0B"/>
    <w:rsid w:val="00CC50AB"/>
    <w:rsid w:val="00CC5A7C"/>
    <w:rsid w:val="00CC6322"/>
    <w:rsid w:val="00CD298E"/>
    <w:rsid w:val="00CD2BAD"/>
    <w:rsid w:val="00CD5B8B"/>
    <w:rsid w:val="00CE5019"/>
    <w:rsid w:val="00CE73BB"/>
    <w:rsid w:val="00CF2E9D"/>
    <w:rsid w:val="00CF4DA5"/>
    <w:rsid w:val="00D05EBB"/>
    <w:rsid w:val="00D062AB"/>
    <w:rsid w:val="00D11945"/>
    <w:rsid w:val="00D124D4"/>
    <w:rsid w:val="00D13D68"/>
    <w:rsid w:val="00D1475E"/>
    <w:rsid w:val="00D1538A"/>
    <w:rsid w:val="00D15B0B"/>
    <w:rsid w:val="00D2492B"/>
    <w:rsid w:val="00D24B6C"/>
    <w:rsid w:val="00D26B62"/>
    <w:rsid w:val="00D27D0E"/>
    <w:rsid w:val="00D30CD4"/>
    <w:rsid w:val="00D350AA"/>
    <w:rsid w:val="00D40A89"/>
    <w:rsid w:val="00D41601"/>
    <w:rsid w:val="00D416A6"/>
    <w:rsid w:val="00D46C6C"/>
    <w:rsid w:val="00D471A2"/>
    <w:rsid w:val="00D52141"/>
    <w:rsid w:val="00D525F3"/>
    <w:rsid w:val="00D5289E"/>
    <w:rsid w:val="00D540C3"/>
    <w:rsid w:val="00D548A4"/>
    <w:rsid w:val="00D54A2E"/>
    <w:rsid w:val="00D60409"/>
    <w:rsid w:val="00D61D97"/>
    <w:rsid w:val="00D63600"/>
    <w:rsid w:val="00D6541B"/>
    <w:rsid w:val="00D6557F"/>
    <w:rsid w:val="00D659FB"/>
    <w:rsid w:val="00D7324B"/>
    <w:rsid w:val="00D757EB"/>
    <w:rsid w:val="00D76FC2"/>
    <w:rsid w:val="00D825CE"/>
    <w:rsid w:val="00D855EB"/>
    <w:rsid w:val="00D86FCF"/>
    <w:rsid w:val="00D9167F"/>
    <w:rsid w:val="00D92497"/>
    <w:rsid w:val="00D92BA6"/>
    <w:rsid w:val="00D92CDE"/>
    <w:rsid w:val="00D955D3"/>
    <w:rsid w:val="00D96141"/>
    <w:rsid w:val="00D969F7"/>
    <w:rsid w:val="00DA2A10"/>
    <w:rsid w:val="00DA3595"/>
    <w:rsid w:val="00DA4302"/>
    <w:rsid w:val="00DA4453"/>
    <w:rsid w:val="00DA68E9"/>
    <w:rsid w:val="00DB1CBA"/>
    <w:rsid w:val="00DB31AF"/>
    <w:rsid w:val="00DC3A6B"/>
    <w:rsid w:val="00DC7E06"/>
    <w:rsid w:val="00DD018E"/>
    <w:rsid w:val="00DD0CEB"/>
    <w:rsid w:val="00DD2509"/>
    <w:rsid w:val="00DD25FA"/>
    <w:rsid w:val="00DD262E"/>
    <w:rsid w:val="00DD2763"/>
    <w:rsid w:val="00DD3C18"/>
    <w:rsid w:val="00DD4556"/>
    <w:rsid w:val="00DD4909"/>
    <w:rsid w:val="00DD572A"/>
    <w:rsid w:val="00DD59FF"/>
    <w:rsid w:val="00DE0109"/>
    <w:rsid w:val="00DE0BFD"/>
    <w:rsid w:val="00DE17D7"/>
    <w:rsid w:val="00DE27FC"/>
    <w:rsid w:val="00DE2B28"/>
    <w:rsid w:val="00DE2E53"/>
    <w:rsid w:val="00DE48FC"/>
    <w:rsid w:val="00DE4980"/>
    <w:rsid w:val="00DF14F5"/>
    <w:rsid w:val="00DF24E1"/>
    <w:rsid w:val="00DF4F32"/>
    <w:rsid w:val="00DF612D"/>
    <w:rsid w:val="00DF704D"/>
    <w:rsid w:val="00E00124"/>
    <w:rsid w:val="00E00E26"/>
    <w:rsid w:val="00E01645"/>
    <w:rsid w:val="00E01CF4"/>
    <w:rsid w:val="00E02A0C"/>
    <w:rsid w:val="00E058D1"/>
    <w:rsid w:val="00E06774"/>
    <w:rsid w:val="00E06D8A"/>
    <w:rsid w:val="00E117F6"/>
    <w:rsid w:val="00E12842"/>
    <w:rsid w:val="00E13268"/>
    <w:rsid w:val="00E13F5F"/>
    <w:rsid w:val="00E14CE1"/>
    <w:rsid w:val="00E16FBA"/>
    <w:rsid w:val="00E17E56"/>
    <w:rsid w:val="00E20379"/>
    <w:rsid w:val="00E203B3"/>
    <w:rsid w:val="00E22854"/>
    <w:rsid w:val="00E2288F"/>
    <w:rsid w:val="00E25062"/>
    <w:rsid w:val="00E26087"/>
    <w:rsid w:val="00E2685F"/>
    <w:rsid w:val="00E27B10"/>
    <w:rsid w:val="00E32169"/>
    <w:rsid w:val="00E34E07"/>
    <w:rsid w:val="00E37A8B"/>
    <w:rsid w:val="00E41162"/>
    <w:rsid w:val="00E42FBF"/>
    <w:rsid w:val="00E4610C"/>
    <w:rsid w:val="00E46AB0"/>
    <w:rsid w:val="00E50B9B"/>
    <w:rsid w:val="00E513FC"/>
    <w:rsid w:val="00E535AF"/>
    <w:rsid w:val="00E558A8"/>
    <w:rsid w:val="00E55D22"/>
    <w:rsid w:val="00E57227"/>
    <w:rsid w:val="00E57695"/>
    <w:rsid w:val="00E57E17"/>
    <w:rsid w:val="00E61D80"/>
    <w:rsid w:val="00E662B4"/>
    <w:rsid w:val="00E67084"/>
    <w:rsid w:val="00E73470"/>
    <w:rsid w:val="00E8473A"/>
    <w:rsid w:val="00E87021"/>
    <w:rsid w:val="00E87B86"/>
    <w:rsid w:val="00E920C3"/>
    <w:rsid w:val="00E95BD7"/>
    <w:rsid w:val="00E96438"/>
    <w:rsid w:val="00E96682"/>
    <w:rsid w:val="00EA2EC3"/>
    <w:rsid w:val="00EB02BE"/>
    <w:rsid w:val="00EB1B24"/>
    <w:rsid w:val="00EB1F3A"/>
    <w:rsid w:val="00EB40A6"/>
    <w:rsid w:val="00EB4BA9"/>
    <w:rsid w:val="00EC0775"/>
    <w:rsid w:val="00EC13F7"/>
    <w:rsid w:val="00EC1EB9"/>
    <w:rsid w:val="00EC4582"/>
    <w:rsid w:val="00EC4F9E"/>
    <w:rsid w:val="00EC7431"/>
    <w:rsid w:val="00ED14F9"/>
    <w:rsid w:val="00ED5E6D"/>
    <w:rsid w:val="00ED6466"/>
    <w:rsid w:val="00ED78A7"/>
    <w:rsid w:val="00EE06AD"/>
    <w:rsid w:val="00EE12CA"/>
    <w:rsid w:val="00EE1909"/>
    <w:rsid w:val="00EE2545"/>
    <w:rsid w:val="00EE736E"/>
    <w:rsid w:val="00EF0495"/>
    <w:rsid w:val="00EF0D37"/>
    <w:rsid w:val="00EF679E"/>
    <w:rsid w:val="00F005ED"/>
    <w:rsid w:val="00F019C1"/>
    <w:rsid w:val="00F02031"/>
    <w:rsid w:val="00F02F27"/>
    <w:rsid w:val="00F04C36"/>
    <w:rsid w:val="00F20F65"/>
    <w:rsid w:val="00F3023F"/>
    <w:rsid w:val="00F304A5"/>
    <w:rsid w:val="00F32DCA"/>
    <w:rsid w:val="00F3537A"/>
    <w:rsid w:val="00F35F57"/>
    <w:rsid w:val="00F36002"/>
    <w:rsid w:val="00F364D7"/>
    <w:rsid w:val="00F37310"/>
    <w:rsid w:val="00F40662"/>
    <w:rsid w:val="00F41D2F"/>
    <w:rsid w:val="00F44E68"/>
    <w:rsid w:val="00F55F59"/>
    <w:rsid w:val="00F577FE"/>
    <w:rsid w:val="00F6282D"/>
    <w:rsid w:val="00F65F3F"/>
    <w:rsid w:val="00F65F41"/>
    <w:rsid w:val="00F67C71"/>
    <w:rsid w:val="00F67C9A"/>
    <w:rsid w:val="00F71789"/>
    <w:rsid w:val="00F7190E"/>
    <w:rsid w:val="00F74C96"/>
    <w:rsid w:val="00F80CF6"/>
    <w:rsid w:val="00F8602D"/>
    <w:rsid w:val="00F86EA7"/>
    <w:rsid w:val="00F90BF7"/>
    <w:rsid w:val="00F9342A"/>
    <w:rsid w:val="00F94E7D"/>
    <w:rsid w:val="00F9636C"/>
    <w:rsid w:val="00F96FC5"/>
    <w:rsid w:val="00F97164"/>
    <w:rsid w:val="00F97F11"/>
    <w:rsid w:val="00FA077B"/>
    <w:rsid w:val="00FA1203"/>
    <w:rsid w:val="00FA1960"/>
    <w:rsid w:val="00FA2E92"/>
    <w:rsid w:val="00FA400D"/>
    <w:rsid w:val="00FA5B33"/>
    <w:rsid w:val="00FA7750"/>
    <w:rsid w:val="00FB1204"/>
    <w:rsid w:val="00FB55E4"/>
    <w:rsid w:val="00FC040F"/>
    <w:rsid w:val="00FC09D6"/>
    <w:rsid w:val="00FC21DD"/>
    <w:rsid w:val="00FC5FD5"/>
    <w:rsid w:val="00FD11A1"/>
    <w:rsid w:val="00FD1AFB"/>
    <w:rsid w:val="00FD38C6"/>
    <w:rsid w:val="00FD57D1"/>
    <w:rsid w:val="00FD5D44"/>
    <w:rsid w:val="00FE053D"/>
    <w:rsid w:val="00FE1830"/>
    <w:rsid w:val="00FE19F2"/>
    <w:rsid w:val="00FE2627"/>
    <w:rsid w:val="00FE2818"/>
    <w:rsid w:val="00FE2C9C"/>
    <w:rsid w:val="00FE2F30"/>
    <w:rsid w:val="00FE768A"/>
    <w:rsid w:val="00FF2026"/>
    <w:rsid w:val="00FF2348"/>
    <w:rsid w:val="00FF2AF2"/>
    <w:rsid w:val="00FF53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9C8CD8"/>
  <w15:docId w15:val="{A72DE8BE-7FCD-4C78-B390-B839AEFF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6E6E6E"/>
        <w:sz w:val="19"/>
        <w:szCs w:val="19"/>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D2"/>
    <w:pPr>
      <w:tabs>
        <w:tab w:val="left" w:pos="454"/>
      </w:tabs>
    </w:pPr>
  </w:style>
  <w:style w:type="paragraph" w:styleId="Overskrift1">
    <w:name w:val="heading 1"/>
    <w:basedOn w:val="Normal"/>
    <w:next w:val="Normal"/>
    <w:link w:val="Overskrift1Tegn"/>
    <w:uiPriority w:val="1"/>
    <w:qFormat/>
    <w:rsid w:val="007C6A5D"/>
    <w:pPr>
      <w:keepNext/>
      <w:keepLines/>
      <w:pageBreakBefore/>
      <w:numPr>
        <w:numId w:val="27"/>
      </w:numPr>
      <w:spacing w:after="520" w:line="800" w:lineRule="atLeast"/>
      <w:contextualSpacing/>
      <w:outlineLvl w:val="0"/>
    </w:pPr>
    <w:rPr>
      <w:rFonts w:ascii="Calibri" w:eastAsiaTheme="majorEastAsia" w:hAnsi="Calibri" w:cstheme="majorBidi"/>
      <w:bCs/>
      <w:sz w:val="74"/>
      <w:szCs w:val="28"/>
    </w:rPr>
  </w:style>
  <w:style w:type="paragraph" w:styleId="Overskrift2">
    <w:name w:val="heading 2"/>
    <w:basedOn w:val="Normal"/>
    <w:next w:val="Normal"/>
    <w:link w:val="Overskrift2Tegn"/>
    <w:uiPriority w:val="1"/>
    <w:qFormat/>
    <w:rsid w:val="007C6A5D"/>
    <w:pPr>
      <w:keepNext/>
      <w:keepLines/>
      <w:numPr>
        <w:ilvl w:val="1"/>
        <w:numId w:val="27"/>
      </w:numPr>
      <w:spacing w:before="260" w:after="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85A21"/>
    <w:pPr>
      <w:keepNext/>
      <w:keepLines/>
      <w:numPr>
        <w:ilvl w:val="2"/>
        <w:numId w:val="27"/>
      </w:numPr>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qFormat/>
    <w:rsid w:val="00135419"/>
    <w:pPr>
      <w:keepNext/>
      <w:keepLines/>
      <w:spacing w:before="260"/>
      <w:contextualSpacing/>
      <w:outlineLvl w:val="3"/>
    </w:pPr>
    <w:rPr>
      <w:rFonts w:eastAsiaTheme="majorEastAsia" w:cstheme="majorBidi"/>
      <w:b/>
      <w:bCs/>
      <w:i/>
      <w:iCs/>
      <w:sz w:val="20"/>
    </w:rPr>
  </w:style>
  <w:style w:type="paragraph" w:styleId="Overskrift5">
    <w:name w:val="heading 5"/>
    <w:basedOn w:val="Normal"/>
    <w:next w:val="Normal"/>
    <w:link w:val="Overskrift5Tegn"/>
    <w:uiPriority w:val="1"/>
    <w:semiHidden/>
    <w:rsid w:val="009B614D"/>
    <w:pPr>
      <w:keepNext/>
      <w:keepLines/>
      <w:numPr>
        <w:ilvl w:val="4"/>
        <w:numId w:val="27"/>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B614D"/>
    <w:pPr>
      <w:keepNext/>
      <w:keepLines/>
      <w:numPr>
        <w:ilvl w:val="5"/>
        <w:numId w:val="27"/>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B614D"/>
    <w:pPr>
      <w:keepNext/>
      <w:keepLines/>
      <w:numPr>
        <w:ilvl w:val="6"/>
        <w:numId w:val="27"/>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B614D"/>
    <w:pPr>
      <w:keepNext/>
      <w:keepLines/>
      <w:numPr>
        <w:ilvl w:val="7"/>
        <w:numId w:val="27"/>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B614D"/>
    <w:pPr>
      <w:keepNext/>
      <w:keepLines/>
      <w:numPr>
        <w:ilvl w:val="8"/>
        <w:numId w:val="27"/>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01C0A"/>
    <w:pPr>
      <w:tabs>
        <w:tab w:val="center" w:pos="4819"/>
        <w:tab w:val="right" w:pos="9638"/>
      </w:tabs>
      <w:spacing w:line="240" w:lineRule="atLeast"/>
      <w:ind w:left="-2098"/>
    </w:pPr>
    <w:rPr>
      <w:rFonts w:ascii="Calibri" w:hAnsi="Calibri"/>
    </w:rPr>
  </w:style>
  <w:style w:type="character" w:customStyle="1" w:styleId="SidehovedTegn">
    <w:name w:val="Sidehoved Tegn"/>
    <w:basedOn w:val="Standardskrifttypeiafsnit"/>
    <w:link w:val="Sidehoved"/>
    <w:uiPriority w:val="21"/>
    <w:semiHidden/>
    <w:rsid w:val="00901C0A"/>
    <w:rPr>
      <w:rFonts w:ascii="Calibri" w:hAnsi="Calibri"/>
    </w:rPr>
  </w:style>
  <w:style w:type="paragraph" w:styleId="Sidefod">
    <w:name w:val="footer"/>
    <w:basedOn w:val="Normal"/>
    <w:link w:val="SidefodTegn"/>
    <w:uiPriority w:val="21"/>
    <w:rsid w:val="009C2D35"/>
    <w:pPr>
      <w:tabs>
        <w:tab w:val="clear" w:pos="454"/>
        <w:tab w:val="right" w:pos="8108"/>
      </w:tabs>
      <w:ind w:left="-2098"/>
    </w:pPr>
    <w:rPr>
      <w:noProof/>
    </w:rPr>
  </w:style>
  <w:style w:type="character" w:customStyle="1" w:styleId="SidefodTegn">
    <w:name w:val="Sidefod Tegn"/>
    <w:basedOn w:val="Standardskrifttypeiafsnit"/>
    <w:link w:val="Sidefod"/>
    <w:uiPriority w:val="21"/>
    <w:rsid w:val="009C2D35"/>
    <w:rPr>
      <w:noProof/>
      <w:lang w:val="en-GB"/>
    </w:rPr>
  </w:style>
  <w:style w:type="character" w:customStyle="1" w:styleId="Overskrift1Tegn">
    <w:name w:val="Overskrift 1 Tegn"/>
    <w:basedOn w:val="Standardskrifttypeiafsnit"/>
    <w:link w:val="Overskrift1"/>
    <w:uiPriority w:val="1"/>
    <w:rsid w:val="007C6A5D"/>
    <w:rPr>
      <w:rFonts w:ascii="Calibri" w:eastAsiaTheme="majorEastAsia" w:hAnsi="Calibri" w:cstheme="majorBidi"/>
      <w:bCs/>
      <w:sz w:val="74"/>
      <w:szCs w:val="28"/>
    </w:rPr>
  </w:style>
  <w:style w:type="character" w:customStyle="1" w:styleId="Overskrift2Tegn">
    <w:name w:val="Overskrift 2 Tegn"/>
    <w:basedOn w:val="Standardskrifttypeiafsnit"/>
    <w:link w:val="Overskrift2"/>
    <w:uiPriority w:val="1"/>
    <w:rsid w:val="007C6A5D"/>
    <w:rPr>
      <w:rFonts w:eastAsiaTheme="majorEastAsia" w:cstheme="majorBidi"/>
      <w:b/>
      <w:bCs/>
      <w:szCs w:val="26"/>
    </w:rPr>
  </w:style>
  <w:style w:type="character" w:customStyle="1" w:styleId="Overskrift3Tegn">
    <w:name w:val="Overskrift 3 Tegn"/>
    <w:basedOn w:val="Standardskrifttypeiafsnit"/>
    <w:link w:val="Overskrift3"/>
    <w:uiPriority w:val="1"/>
    <w:rsid w:val="00585A21"/>
    <w:rPr>
      <w:rFonts w:eastAsiaTheme="majorEastAsia" w:cstheme="majorBidi"/>
      <w:b/>
      <w:bCs/>
    </w:rPr>
  </w:style>
  <w:style w:type="character" w:customStyle="1" w:styleId="Overskrift4Tegn">
    <w:name w:val="Overskrift 4 Tegn"/>
    <w:basedOn w:val="Standardskrifttypeiafsnit"/>
    <w:link w:val="Overskrift4"/>
    <w:uiPriority w:val="1"/>
    <w:rsid w:val="00135419"/>
    <w:rPr>
      <w:rFonts w:eastAsiaTheme="majorEastAsia" w:cstheme="majorBidi"/>
      <w:b/>
      <w:bCs/>
      <w:i/>
      <w:iCs/>
      <w:sz w:val="20"/>
      <w:lang w:val="en-GB"/>
    </w:rPr>
  </w:style>
  <w:style w:type="character" w:customStyle="1" w:styleId="Overskrift5Tegn">
    <w:name w:val="Overskrift 5 Tegn"/>
    <w:basedOn w:val="Standardskrifttypeiafsnit"/>
    <w:link w:val="Overskrift5"/>
    <w:uiPriority w:val="1"/>
    <w:semiHidden/>
    <w:rsid w:val="009B614D"/>
    <w:rPr>
      <w:rFonts w:eastAsiaTheme="majorEastAsia" w:cstheme="majorBidi"/>
      <w:b/>
    </w:rPr>
  </w:style>
  <w:style w:type="character" w:customStyle="1" w:styleId="Overskrift6Tegn">
    <w:name w:val="Overskrift 6 Tegn"/>
    <w:basedOn w:val="Standardskrifttypeiafsnit"/>
    <w:link w:val="Overskrift6"/>
    <w:uiPriority w:val="1"/>
    <w:semiHidden/>
    <w:rsid w:val="009B614D"/>
    <w:rPr>
      <w:rFonts w:eastAsiaTheme="majorEastAsia" w:cstheme="majorBidi"/>
      <w:b/>
      <w:iCs/>
    </w:rPr>
  </w:style>
  <w:style w:type="character" w:customStyle="1" w:styleId="Overskrift7Tegn">
    <w:name w:val="Overskrift 7 Tegn"/>
    <w:basedOn w:val="Standardskrifttypeiafsnit"/>
    <w:link w:val="Overskrift7"/>
    <w:uiPriority w:val="1"/>
    <w:semiHidden/>
    <w:rsid w:val="009B614D"/>
    <w:rPr>
      <w:rFonts w:eastAsiaTheme="majorEastAsia" w:cstheme="majorBidi"/>
      <w:b/>
      <w:iCs/>
    </w:rPr>
  </w:style>
  <w:style w:type="character" w:customStyle="1" w:styleId="Overskrift8Tegn">
    <w:name w:val="Overskrift 8 Tegn"/>
    <w:basedOn w:val="Standardskrifttypeiafsnit"/>
    <w:link w:val="Overskrift8"/>
    <w:uiPriority w:val="1"/>
    <w:semiHidden/>
    <w:rsid w:val="009B614D"/>
    <w:rPr>
      <w:rFonts w:eastAsiaTheme="majorEastAsia" w:cstheme="majorBidi"/>
      <w:b/>
      <w:szCs w:val="20"/>
    </w:rPr>
  </w:style>
  <w:style w:type="character" w:customStyle="1" w:styleId="Overskrift9Tegn">
    <w:name w:val="Overskrift 9 Tegn"/>
    <w:basedOn w:val="Standardskrifttypeiafsnit"/>
    <w:link w:val="Overskrift9"/>
    <w:uiPriority w:val="1"/>
    <w:semiHidden/>
    <w:rsid w:val="009B614D"/>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C3C3C3"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2777B6"/>
    <w:rPr>
      <w:rFonts w:ascii="Calibri" w:hAnsi="Calibri"/>
      <w:b/>
      <w:bCs/>
    </w:rPr>
  </w:style>
  <w:style w:type="paragraph" w:styleId="Indholdsfortegnelse1">
    <w:name w:val="toc 1"/>
    <w:basedOn w:val="Normal"/>
    <w:next w:val="Normal"/>
    <w:uiPriority w:val="39"/>
    <w:rsid w:val="009C6B4A"/>
    <w:pPr>
      <w:tabs>
        <w:tab w:val="clear" w:pos="454"/>
        <w:tab w:val="right" w:pos="8108"/>
      </w:tabs>
      <w:spacing w:before="260"/>
      <w:ind w:right="567"/>
    </w:pPr>
    <w:rPr>
      <w:b/>
    </w:rPr>
  </w:style>
  <w:style w:type="paragraph" w:styleId="Indholdsfortegnelse2">
    <w:name w:val="toc 2"/>
    <w:basedOn w:val="Normal"/>
    <w:next w:val="Normal"/>
    <w:uiPriority w:val="39"/>
    <w:rsid w:val="00E00E26"/>
    <w:pPr>
      <w:tabs>
        <w:tab w:val="clear" w:pos="454"/>
        <w:tab w:val="right" w:pos="8108"/>
      </w:tabs>
      <w:ind w:left="567" w:right="567"/>
    </w:pPr>
  </w:style>
  <w:style w:type="paragraph" w:styleId="Indholdsfortegnelse3">
    <w:name w:val="toc 3"/>
    <w:basedOn w:val="Normal"/>
    <w:next w:val="Normal"/>
    <w:uiPriority w:val="39"/>
    <w:rsid w:val="003044AF"/>
    <w:pPr>
      <w:tabs>
        <w:tab w:val="clear" w:pos="454"/>
        <w:tab w:val="right" w:pos="8108"/>
      </w:tabs>
      <w:ind w:left="1134" w:right="567"/>
    </w:pPr>
  </w:style>
  <w:style w:type="paragraph" w:styleId="Indholdsfortegnelse4">
    <w:name w:val="toc 4"/>
    <w:basedOn w:val="Normal"/>
    <w:next w:val="Normal"/>
    <w:uiPriority w:val="39"/>
    <w:rsid w:val="003044AF"/>
    <w:pPr>
      <w:tabs>
        <w:tab w:val="clear" w:pos="454"/>
        <w:tab w:val="right" w:pos="8108"/>
      </w:tabs>
      <w:ind w:left="1418"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next w:val="Normal"/>
    <w:uiPriority w:val="39"/>
    <w:qFormat/>
    <w:rsid w:val="00FE1830"/>
    <w:pPr>
      <w:spacing w:after="640" w:line="800" w:lineRule="atLeast"/>
      <w:ind w:left="-1049"/>
    </w:pPr>
    <w:rPr>
      <w:rFonts w:ascii="Calibri" w:eastAsiaTheme="majorEastAsia" w:hAnsi="Calibri" w:cstheme="majorBidi"/>
      <w:bCs/>
      <w:sz w:val="74"/>
      <w:szCs w:val="28"/>
    </w:rPr>
  </w:style>
  <w:style w:type="paragraph" w:styleId="Bloktekst">
    <w:name w:val="Block Text"/>
    <w:basedOn w:val="Normal"/>
    <w:uiPriority w:val="99"/>
    <w:semiHidden/>
    <w:rsid w:val="009E4B94"/>
    <w:pPr>
      <w:pBdr>
        <w:top w:val="single" w:sz="2" w:space="10" w:color="C3C3C3" w:themeColor="text1" w:themeTint="80"/>
        <w:left w:val="single" w:sz="2" w:space="10" w:color="C3C3C3" w:themeColor="text1" w:themeTint="80"/>
        <w:bottom w:val="single" w:sz="2" w:space="10" w:color="C3C3C3" w:themeColor="text1" w:themeTint="80"/>
        <w:right w:val="single" w:sz="2" w:space="10" w:color="C3C3C3"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1A0925"/>
    <w:pPr>
      <w:numPr>
        <w:numId w:val="15"/>
      </w:numPr>
      <w:spacing w:after="260"/>
      <w:contextualSpacing/>
    </w:pPr>
  </w:style>
  <w:style w:type="paragraph" w:styleId="Opstilling-talellerbogst">
    <w:name w:val="List Number"/>
    <w:basedOn w:val="Normal"/>
    <w:uiPriority w:val="2"/>
    <w:qFormat/>
    <w:rsid w:val="006B30A9"/>
    <w:pPr>
      <w:tabs>
        <w:tab w:val="clear" w:pos="454"/>
      </w:tabs>
      <w:contextualSpacing/>
    </w:pPr>
  </w:style>
  <w:style w:type="character" w:styleId="Sidetal">
    <w:name w:val="page number"/>
    <w:basedOn w:val="Standardskrifttypeiafsnit"/>
    <w:uiPriority w:val="21"/>
    <w:rsid w:val="0044141D"/>
    <w:rPr>
      <w:rFonts w:ascii="Calibri" w:hAnsi="Calibri"/>
      <w:sz w:val="16"/>
    </w:r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032D66"/>
    <w:pPr>
      <w:spacing w:before="50" w:after="50" w:line="160" w:lineRule="atLeast"/>
    </w:pPr>
    <w:rPr>
      <w:rFonts w:ascii="Calibri" w:hAnsi="Calibri"/>
      <w:color w:val="000000"/>
      <w:sz w:val="15"/>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888888" w:themeColor="text1"/>
      <w:sz w:val="20"/>
    </w:rPr>
  </w:style>
  <w:style w:type="character" w:customStyle="1" w:styleId="CitatTegn">
    <w:name w:val="Citat Tegn"/>
    <w:basedOn w:val="Standardskrifttypeiafsnit"/>
    <w:link w:val="Citat"/>
    <w:uiPriority w:val="19"/>
    <w:semiHidden/>
    <w:rsid w:val="00004865"/>
    <w:rPr>
      <w:b/>
      <w:iCs/>
      <w:color w:val="888888"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EC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244D70"/>
    <w:pPr>
      <w:spacing w:line="280" w:lineRule="atLeast"/>
    </w:pPr>
  </w:style>
  <w:style w:type="paragraph" w:customStyle="1" w:styleId="Forsidetitel1">
    <w:name w:val="Forsidetitel 1"/>
    <w:basedOn w:val="Normal"/>
    <w:next w:val="ForsideUnderoverskriftLarge"/>
    <w:uiPriority w:val="6"/>
    <w:semiHidden/>
    <w:rsid w:val="00B92C1A"/>
    <w:pPr>
      <w:spacing w:line="2360" w:lineRule="exact"/>
      <w:contextualSpacing/>
    </w:pPr>
    <w:rPr>
      <w:rFonts w:ascii="Calibri" w:hAnsi="Calibri"/>
      <w:b/>
      <w:sz w:val="220"/>
    </w:rPr>
  </w:style>
  <w:style w:type="paragraph" w:customStyle="1" w:styleId="ForsideUnderoverskriftLarge">
    <w:name w:val="Forside Underoverskrift Large"/>
    <w:basedOn w:val="Normal"/>
    <w:next w:val="Forsidenrogr"/>
    <w:uiPriority w:val="6"/>
    <w:semiHidden/>
    <w:rsid w:val="003E4E29"/>
    <w:pPr>
      <w:spacing w:after="520" w:line="720" w:lineRule="exact"/>
      <w:ind w:left="1021"/>
      <w:contextualSpacing/>
    </w:pPr>
    <w:rPr>
      <w:rFonts w:ascii="Calibri" w:hAnsi="Calibri"/>
      <w:sz w:val="66"/>
    </w:rPr>
  </w:style>
  <w:style w:type="paragraph" w:customStyle="1" w:styleId="Forsidenrogr">
    <w:name w:val="Forside nr og år"/>
    <w:basedOn w:val="Normal"/>
    <w:uiPriority w:val="6"/>
    <w:semiHidden/>
    <w:rsid w:val="003E4E29"/>
    <w:pPr>
      <w:spacing w:line="360" w:lineRule="atLeast"/>
    </w:pPr>
    <w:rPr>
      <w:rFonts w:ascii="Calibri" w:hAnsi="Calibri"/>
      <w:sz w:val="32"/>
    </w:rPr>
  </w:style>
  <w:style w:type="paragraph" w:styleId="Markeringsbobletekst">
    <w:name w:val="Balloon Text"/>
    <w:basedOn w:val="Normal"/>
    <w:link w:val="MarkeringsbobletekstTegn"/>
    <w:uiPriority w:val="99"/>
    <w:semiHidden/>
    <w:rsid w:val="00602F4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2F41"/>
    <w:rPr>
      <w:rFonts w:ascii="Tahoma" w:hAnsi="Tahoma" w:cs="Tahoma"/>
      <w:sz w:val="16"/>
      <w:szCs w:val="16"/>
    </w:rPr>
  </w:style>
  <w:style w:type="paragraph" w:customStyle="1" w:styleId="Forsidetitel2">
    <w:name w:val="Forsidetitel 2"/>
    <w:basedOn w:val="Forsidetitel1"/>
    <w:uiPriority w:val="6"/>
    <w:semiHidden/>
    <w:rsid w:val="003C2D6D"/>
    <w:pPr>
      <w:spacing w:line="660" w:lineRule="exact"/>
    </w:pPr>
    <w:rPr>
      <w:sz w:val="60"/>
    </w:rPr>
  </w:style>
  <w:style w:type="paragraph" w:customStyle="1" w:styleId="ForsideUnderoverskriftSmall">
    <w:name w:val="Forside Underoverskrift Small"/>
    <w:basedOn w:val="ForsideUnderoverskriftLarge"/>
    <w:uiPriority w:val="6"/>
    <w:semiHidden/>
    <w:rsid w:val="003C2D6D"/>
    <w:pPr>
      <w:spacing w:line="660" w:lineRule="exact"/>
    </w:pPr>
    <w:rPr>
      <w:sz w:val="60"/>
    </w:rPr>
  </w:style>
  <w:style w:type="paragraph" w:customStyle="1" w:styleId="Underrubrik">
    <w:name w:val="Underrubrik"/>
    <w:basedOn w:val="Normal"/>
    <w:qFormat/>
    <w:rsid w:val="00901C0A"/>
    <w:pPr>
      <w:spacing w:after="780" w:line="340" w:lineRule="atLeast"/>
      <w:ind w:left="-1049"/>
      <w:contextualSpacing/>
    </w:pPr>
    <w:rPr>
      <w:rFonts w:ascii="Calibri" w:hAnsi="Calibri"/>
      <w:sz w:val="30"/>
    </w:rPr>
  </w:style>
  <w:style w:type="paragraph" w:customStyle="1" w:styleId="BoksOverskrift">
    <w:name w:val="Boks Overskrift"/>
    <w:basedOn w:val="Normal"/>
    <w:next w:val="BoksTekst"/>
    <w:uiPriority w:val="3"/>
    <w:rsid w:val="000E6BB5"/>
    <w:pPr>
      <w:spacing w:before="240"/>
      <w:ind w:left="454" w:right="454"/>
      <w:contextualSpacing/>
    </w:pPr>
    <w:rPr>
      <w:b/>
      <w:caps/>
    </w:rPr>
  </w:style>
  <w:style w:type="paragraph" w:customStyle="1" w:styleId="BoksTekst">
    <w:name w:val="Boks Tekst"/>
    <w:basedOn w:val="BoksOverskrift"/>
    <w:uiPriority w:val="3"/>
    <w:rsid w:val="000E6BB5"/>
    <w:pPr>
      <w:spacing w:before="0" w:after="240"/>
      <w:contextualSpacing w:val="0"/>
    </w:pPr>
    <w:rPr>
      <w:b w:val="0"/>
      <w:caps w:val="0"/>
    </w:rPr>
  </w:style>
  <w:style w:type="paragraph" w:customStyle="1" w:styleId="CitattekstStor">
    <w:name w:val="Citattekst Stor"/>
    <w:basedOn w:val="Normal"/>
    <w:next w:val="CitatNavn"/>
    <w:uiPriority w:val="4"/>
    <w:rsid w:val="00521DA3"/>
    <w:pPr>
      <w:tabs>
        <w:tab w:val="left" w:pos="4245"/>
      </w:tabs>
      <w:spacing w:line="400" w:lineRule="atLeast"/>
    </w:pPr>
    <w:rPr>
      <w:rFonts w:ascii="Calibri" w:hAnsi="Calibri"/>
      <w:i/>
      <w:sz w:val="34"/>
    </w:rPr>
  </w:style>
  <w:style w:type="paragraph" w:customStyle="1" w:styleId="CitatNavn">
    <w:name w:val="Citat Navn"/>
    <w:basedOn w:val="Normal"/>
    <w:uiPriority w:val="4"/>
    <w:rsid w:val="0044141D"/>
    <w:pPr>
      <w:spacing w:before="60"/>
    </w:pPr>
    <w:rPr>
      <w:rFonts w:ascii="Calibri" w:hAnsi="Calibri"/>
      <w:i/>
      <w:sz w:val="16"/>
    </w:rPr>
  </w:style>
  <w:style w:type="paragraph" w:customStyle="1" w:styleId="Citattekstlille">
    <w:name w:val="Citattekst lille"/>
    <w:basedOn w:val="Normal"/>
    <w:uiPriority w:val="4"/>
    <w:rsid w:val="0044141D"/>
    <w:pPr>
      <w:spacing w:line="220" w:lineRule="atLeast"/>
    </w:pPr>
    <w:rPr>
      <w:rFonts w:ascii="Calibri" w:hAnsi="Calibri"/>
      <w:i/>
      <w:sz w:val="16"/>
    </w:rPr>
  </w:style>
  <w:style w:type="paragraph" w:customStyle="1" w:styleId="KolofonOverskrift">
    <w:name w:val="Kolofon Overskrift"/>
    <w:basedOn w:val="Normal"/>
    <w:uiPriority w:val="6"/>
    <w:semiHidden/>
    <w:rsid w:val="00EC0775"/>
    <w:rPr>
      <w:b/>
    </w:rPr>
  </w:style>
  <w:style w:type="paragraph" w:customStyle="1" w:styleId="KolofonOmrde">
    <w:name w:val="Kolofon Område"/>
    <w:basedOn w:val="KolofonOverskrift"/>
    <w:uiPriority w:val="6"/>
    <w:semiHidden/>
    <w:rsid w:val="008C6EAC"/>
    <w:rPr>
      <w:b w:val="0"/>
      <w:i/>
    </w:rPr>
  </w:style>
  <w:style w:type="paragraph" w:customStyle="1" w:styleId="Kolofontekst">
    <w:name w:val="Kolofon tekst"/>
    <w:basedOn w:val="KolofonOmrde"/>
    <w:uiPriority w:val="6"/>
    <w:semiHidden/>
    <w:rsid w:val="00F9342A"/>
    <w:rPr>
      <w:i w:val="0"/>
      <w:noProof/>
    </w:rPr>
  </w:style>
  <w:style w:type="paragraph" w:customStyle="1" w:styleId="KapitelopslagstekstGr">
    <w:name w:val="Kapitel opslagstekst Grå"/>
    <w:basedOn w:val="Normal"/>
    <w:uiPriority w:val="4"/>
    <w:rsid w:val="00446BA2"/>
    <w:pPr>
      <w:spacing w:line="1820" w:lineRule="exact"/>
    </w:pPr>
    <w:rPr>
      <w:rFonts w:ascii="Calibri" w:hAnsi="Calibri"/>
      <w:b/>
      <w:sz w:val="170"/>
    </w:rPr>
  </w:style>
  <w:style w:type="paragraph" w:customStyle="1" w:styleId="KapitelopslagstekstHvid">
    <w:name w:val="Kapitel opslagstekst Hvid"/>
    <w:basedOn w:val="KapitelopslagstekstGr"/>
    <w:uiPriority w:val="4"/>
    <w:rsid w:val="004B366E"/>
    <w:rPr>
      <w:color w:val="FFFFFF"/>
    </w:rPr>
  </w:style>
  <w:style w:type="paragraph" w:customStyle="1" w:styleId="Billedetekst">
    <w:name w:val="Billedetekst"/>
    <w:basedOn w:val="Normal"/>
    <w:uiPriority w:val="3"/>
    <w:rsid w:val="001A3DE2"/>
    <w:pPr>
      <w:spacing w:line="220" w:lineRule="atLeast"/>
    </w:pPr>
    <w:rPr>
      <w:i/>
      <w:sz w:val="16"/>
    </w:rPr>
  </w:style>
  <w:style w:type="paragraph" w:customStyle="1" w:styleId="Figur-TabelTitel">
    <w:name w:val="Figur-Tabel Titel"/>
    <w:basedOn w:val="Normal"/>
    <w:next w:val="Normal"/>
    <w:uiPriority w:val="5"/>
    <w:rsid w:val="00383C1A"/>
    <w:pPr>
      <w:tabs>
        <w:tab w:val="clear" w:pos="454"/>
      </w:tabs>
      <w:spacing w:after="260"/>
    </w:pPr>
    <w:rPr>
      <w:rFonts w:ascii="Calibri" w:hAnsi="Calibri"/>
      <w:color w:val="000000"/>
    </w:rPr>
  </w:style>
  <w:style w:type="table" w:customStyle="1" w:styleId="FIVUTabel">
    <w:name w:val="FIVU Tabel"/>
    <w:basedOn w:val="Tabel-Normal"/>
    <w:uiPriority w:val="99"/>
    <w:rsid w:val="00032D66"/>
    <w:pPr>
      <w:spacing w:before="40" w:after="40" w:line="160" w:lineRule="atLeast"/>
    </w:pPr>
    <w:rPr>
      <w:rFonts w:ascii="Calibri" w:hAnsi="Calibri"/>
      <w:color w:val="000000"/>
      <w:sz w:val="15"/>
    </w:rPr>
    <w:tblPr>
      <w:tblBorders>
        <w:top w:val="single" w:sz="8" w:space="0" w:color="DADADA"/>
        <w:bottom w:val="single" w:sz="8" w:space="0" w:color="DADADA"/>
        <w:insideH w:val="single" w:sz="8" w:space="0" w:color="DADADA"/>
      </w:tblBorders>
      <w:tblCellMar>
        <w:left w:w="0" w:type="dxa"/>
        <w:right w:w="0" w:type="dxa"/>
      </w:tblCellMar>
    </w:tblPr>
  </w:style>
  <w:style w:type="character" w:styleId="Hyperlink">
    <w:name w:val="Hyperlink"/>
    <w:basedOn w:val="Standardskrifttypeiafsnit"/>
    <w:uiPriority w:val="99"/>
    <w:unhideWhenUsed/>
    <w:rsid w:val="00310FE5"/>
    <w:rPr>
      <w:color w:val="0000FF" w:themeColor="hyperlink"/>
      <w:u w:val="single"/>
    </w:rPr>
  </w:style>
  <w:style w:type="paragraph" w:styleId="Listeafsnit">
    <w:name w:val="List Paragraph"/>
    <w:basedOn w:val="Normal"/>
    <w:uiPriority w:val="34"/>
    <w:qFormat/>
    <w:rsid w:val="00616AF5"/>
    <w:pPr>
      <w:ind w:left="720"/>
      <w:contextualSpacing/>
    </w:pPr>
  </w:style>
  <w:style w:type="character" w:styleId="Kommentarhenvisning">
    <w:name w:val="annotation reference"/>
    <w:basedOn w:val="Standardskrifttypeiafsnit"/>
    <w:uiPriority w:val="99"/>
    <w:semiHidden/>
    <w:unhideWhenUsed/>
    <w:rsid w:val="009C0CCD"/>
    <w:rPr>
      <w:sz w:val="16"/>
      <w:szCs w:val="16"/>
    </w:rPr>
  </w:style>
  <w:style w:type="paragraph" w:styleId="Kommentartekst">
    <w:name w:val="annotation text"/>
    <w:basedOn w:val="Normal"/>
    <w:link w:val="KommentartekstTegn"/>
    <w:uiPriority w:val="99"/>
    <w:unhideWhenUsed/>
    <w:rsid w:val="009C0CCD"/>
    <w:pPr>
      <w:spacing w:line="240" w:lineRule="auto"/>
    </w:pPr>
    <w:rPr>
      <w:sz w:val="20"/>
      <w:szCs w:val="20"/>
    </w:rPr>
  </w:style>
  <w:style w:type="character" w:customStyle="1" w:styleId="KommentartekstTegn">
    <w:name w:val="Kommentartekst Tegn"/>
    <w:basedOn w:val="Standardskrifttypeiafsnit"/>
    <w:link w:val="Kommentartekst"/>
    <w:uiPriority w:val="99"/>
    <w:rsid w:val="009C0CCD"/>
    <w:rPr>
      <w:sz w:val="20"/>
      <w:szCs w:val="20"/>
    </w:rPr>
  </w:style>
  <w:style w:type="paragraph" w:styleId="Kommentaremne">
    <w:name w:val="annotation subject"/>
    <w:basedOn w:val="Kommentartekst"/>
    <w:next w:val="Kommentartekst"/>
    <w:link w:val="KommentaremneTegn"/>
    <w:uiPriority w:val="99"/>
    <w:semiHidden/>
    <w:unhideWhenUsed/>
    <w:rsid w:val="009C0CCD"/>
    <w:rPr>
      <w:b/>
      <w:bCs/>
    </w:rPr>
  </w:style>
  <w:style w:type="character" w:customStyle="1" w:styleId="KommentaremneTegn">
    <w:name w:val="Kommentaremne Tegn"/>
    <w:basedOn w:val="KommentartekstTegn"/>
    <w:link w:val="Kommentaremne"/>
    <w:uiPriority w:val="99"/>
    <w:semiHidden/>
    <w:rsid w:val="009C0CCD"/>
    <w:rPr>
      <w:b/>
      <w:bCs/>
      <w:sz w:val="20"/>
      <w:szCs w:val="20"/>
    </w:rPr>
  </w:style>
  <w:style w:type="paragraph" w:styleId="NormalWeb">
    <w:name w:val="Normal (Web)"/>
    <w:basedOn w:val="Normal"/>
    <w:uiPriority w:val="99"/>
    <w:semiHidden/>
    <w:rsid w:val="00107837"/>
    <w:pPr>
      <w:tabs>
        <w:tab w:val="clear" w:pos="454"/>
      </w:tabs>
      <w:spacing w:after="280" w:line="280" w:lineRule="atLeast"/>
    </w:pPr>
    <w:rPr>
      <w:rFonts w:ascii="Times New Roman" w:eastAsia="Times New Roman" w:hAnsi="Times New Roman" w:cs="Times New Roman"/>
      <w:color w:val="auto"/>
      <w:sz w:val="24"/>
      <w:szCs w:val="24"/>
      <w:lang w:eastAsia="da-DK"/>
    </w:rPr>
  </w:style>
  <w:style w:type="paragraph" w:customStyle="1" w:styleId="Default">
    <w:name w:val="Default"/>
    <w:rsid w:val="0009059E"/>
    <w:pPr>
      <w:autoSpaceDE w:val="0"/>
      <w:autoSpaceDN w:val="0"/>
      <w:adjustRightInd w:val="0"/>
      <w:spacing w:line="240" w:lineRule="auto"/>
    </w:pPr>
    <w:rPr>
      <w:rFonts w:ascii="Arial" w:hAnsi="Arial" w:cs="Arial"/>
      <w:color w:val="000000"/>
      <w:sz w:val="24"/>
      <w:szCs w:val="24"/>
    </w:rPr>
  </w:style>
  <w:style w:type="paragraph" w:styleId="Korrektur">
    <w:name w:val="Revision"/>
    <w:hidden/>
    <w:uiPriority w:val="99"/>
    <w:semiHidden/>
    <w:rsid w:val="0039724B"/>
    <w:pPr>
      <w:spacing w:line="240" w:lineRule="auto"/>
    </w:pPr>
  </w:style>
  <w:style w:type="character" w:customStyle="1" w:styleId="norm">
    <w:name w:val="norm"/>
    <w:basedOn w:val="Standardskrifttypeiafsnit"/>
    <w:rsid w:val="00116C52"/>
  </w:style>
  <w:style w:type="character" w:customStyle="1" w:styleId="kortnavn2">
    <w:name w:val="kortnavn2"/>
    <w:basedOn w:val="Standardskrifttypeiafsnit"/>
    <w:rsid w:val="000E560A"/>
    <w:rPr>
      <w:rFonts w:ascii="Tahoma" w:hAnsi="Tahoma" w:cs="Tahoma" w:hint="default"/>
      <w:color w:val="000000"/>
      <w:sz w:val="24"/>
      <w:szCs w:val="24"/>
      <w:shd w:val="clear" w:color="auto" w:fill="auto"/>
    </w:rPr>
  </w:style>
  <w:style w:type="character" w:styleId="Fodnotehenvisning">
    <w:name w:val="footnote reference"/>
    <w:basedOn w:val="Standardskrifttypeiafsnit"/>
    <w:uiPriority w:val="21"/>
    <w:semiHidden/>
    <w:unhideWhenUsed/>
    <w:rsid w:val="002240F6"/>
    <w:rPr>
      <w:vertAlign w:val="superscript"/>
    </w:rPr>
  </w:style>
  <w:style w:type="character" w:styleId="BesgtLink">
    <w:name w:val="FollowedHyperlink"/>
    <w:basedOn w:val="Standardskrifttypeiafsnit"/>
    <w:uiPriority w:val="21"/>
    <w:semiHidden/>
    <w:unhideWhenUsed/>
    <w:rsid w:val="00C96AB7"/>
    <w:rPr>
      <w:color w:val="800080" w:themeColor="followedHyperlink"/>
      <w:u w:val="single"/>
    </w:rPr>
  </w:style>
  <w:style w:type="character" w:customStyle="1" w:styleId="italic1">
    <w:name w:val="italic1"/>
    <w:basedOn w:val="Standardskrifttypeiafsnit"/>
    <w:rsid w:val="00FD1AFB"/>
    <w:rPr>
      <w:rFonts w:ascii="Tahoma" w:hAnsi="Tahoma" w:cs="Tahoma" w:hint="default"/>
      <w:i/>
      <w:iCs/>
      <w:color w:val="000000"/>
      <w:sz w:val="24"/>
      <w:szCs w:val="24"/>
      <w:shd w:val="clear" w:color="auto" w:fill="auto"/>
    </w:rPr>
  </w:style>
  <w:style w:type="paragraph" w:styleId="Opstilling-punkttegn3">
    <w:name w:val="List Bullet 3"/>
    <w:basedOn w:val="Normal"/>
    <w:uiPriority w:val="99"/>
    <w:semiHidden/>
    <w:unhideWhenUsed/>
    <w:rsid w:val="00BB4829"/>
    <w:pPr>
      <w:numPr>
        <w:numId w:val="1"/>
      </w:numPr>
      <w:contextualSpacing/>
    </w:pPr>
  </w:style>
  <w:style w:type="table" w:styleId="Gittertabel4-farve1">
    <w:name w:val="Grid Table 4 Accent 1"/>
    <w:basedOn w:val="Tabel-Normal"/>
    <w:uiPriority w:val="49"/>
    <w:rsid w:val="00314E48"/>
    <w:pPr>
      <w:spacing w:line="240" w:lineRule="auto"/>
    </w:pPr>
    <w:tblPr>
      <w:tblStyleRowBandSize w:val="1"/>
      <w:tblStyleColBandSize w:val="1"/>
      <w:tblBorders>
        <w:top w:val="single" w:sz="4" w:space="0" w:color="B7B7B7" w:themeColor="accent1" w:themeTint="99"/>
        <w:left w:val="single" w:sz="4" w:space="0" w:color="B7B7B7" w:themeColor="accent1" w:themeTint="99"/>
        <w:bottom w:val="single" w:sz="4" w:space="0" w:color="B7B7B7" w:themeColor="accent1" w:themeTint="99"/>
        <w:right w:val="single" w:sz="4" w:space="0" w:color="B7B7B7" w:themeColor="accent1" w:themeTint="99"/>
        <w:insideH w:val="single" w:sz="4" w:space="0" w:color="B7B7B7" w:themeColor="accent1" w:themeTint="99"/>
        <w:insideV w:val="single" w:sz="4" w:space="0" w:color="B7B7B7" w:themeColor="accent1" w:themeTint="99"/>
      </w:tblBorders>
    </w:tblPr>
    <w:tblStylePr w:type="firstRow">
      <w:rPr>
        <w:b/>
        <w:bCs/>
        <w:color w:val="FFFFFF" w:themeColor="background1"/>
      </w:rPr>
      <w:tblPr/>
      <w:tcPr>
        <w:tcBorders>
          <w:top w:val="single" w:sz="4" w:space="0" w:color="888888" w:themeColor="accent1"/>
          <w:left w:val="single" w:sz="4" w:space="0" w:color="888888" w:themeColor="accent1"/>
          <w:bottom w:val="single" w:sz="4" w:space="0" w:color="888888" w:themeColor="accent1"/>
          <w:right w:val="single" w:sz="4" w:space="0" w:color="888888" w:themeColor="accent1"/>
          <w:insideH w:val="nil"/>
          <w:insideV w:val="nil"/>
        </w:tcBorders>
        <w:shd w:val="clear" w:color="auto" w:fill="888888" w:themeFill="accent1"/>
      </w:tcPr>
    </w:tblStylePr>
    <w:tblStylePr w:type="lastRow">
      <w:rPr>
        <w:b/>
        <w:bCs/>
      </w:rPr>
      <w:tblPr/>
      <w:tcPr>
        <w:tcBorders>
          <w:top w:val="double" w:sz="4" w:space="0" w:color="888888" w:themeColor="accent1"/>
        </w:tcBorders>
      </w:tcPr>
    </w:tblStylePr>
    <w:tblStylePr w:type="firstCol">
      <w:rPr>
        <w:b/>
        <w:bCs/>
      </w:rPr>
    </w:tblStylePr>
    <w:tblStylePr w:type="lastCol">
      <w:rPr>
        <w:b/>
        <w:bCs/>
      </w:rPr>
    </w:tblStylePr>
    <w:tblStylePr w:type="band1Vert">
      <w:tblPr/>
      <w:tcPr>
        <w:shd w:val="clear" w:color="auto" w:fill="E7E7E7" w:themeFill="accent1" w:themeFillTint="33"/>
      </w:tcPr>
    </w:tblStylePr>
    <w:tblStylePr w:type="band1Horz">
      <w:tblPr/>
      <w:tcPr>
        <w:shd w:val="clear" w:color="auto" w:fill="E7E7E7" w:themeFill="accent1" w:themeFillTint="33"/>
      </w:tcPr>
    </w:tblStylePr>
  </w:style>
  <w:style w:type="character" w:customStyle="1" w:styleId="documentpublished">
    <w:name w:val="documentpublished"/>
    <w:basedOn w:val="Standardskrifttypeiafsnit"/>
    <w:rsid w:val="0031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0686">
      <w:bodyDiv w:val="1"/>
      <w:marLeft w:val="0"/>
      <w:marRight w:val="0"/>
      <w:marTop w:val="0"/>
      <w:marBottom w:val="0"/>
      <w:divBdr>
        <w:top w:val="none" w:sz="0" w:space="0" w:color="auto"/>
        <w:left w:val="none" w:sz="0" w:space="0" w:color="auto"/>
        <w:bottom w:val="none" w:sz="0" w:space="0" w:color="auto"/>
        <w:right w:val="none" w:sz="0" w:space="0" w:color="auto"/>
      </w:divBdr>
    </w:div>
    <w:div w:id="182670501">
      <w:bodyDiv w:val="1"/>
      <w:marLeft w:val="0"/>
      <w:marRight w:val="0"/>
      <w:marTop w:val="0"/>
      <w:marBottom w:val="0"/>
      <w:divBdr>
        <w:top w:val="none" w:sz="0" w:space="0" w:color="auto"/>
        <w:left w:val="none" w:sz="0" w:space="0" w:color="auto"/>
        <w:bottom w:val="none" w:sz="0" w:space="0" w:color="auto"/>
        <w:right w:val="none" w:sz="0" w:space="0" w:color="auto"/>
      </w:divBdr>
    </w:div>
    <w:div w:id="323897919">
      <w:bodyDiv w:val="1"/>
      <w:marLeft w:val="0"/>
      <w:marRight w:val="0"/>
      <w:marTop w:val="0"/>
      <w:marBottom w:val="0"/>
      <w:divBdr>
        <w:top w:val="none" w:sz="0" w:space="0" w:color="auto"/>
        <w:left w:val="none" w:sz="0" w:space="0" w:color="auto"/>
        <w:bottom w:val="none" w:sz="0" w:space="0" w:color="auto"/>
        <w:right w:val="none" w:sz="0" w:space="0" w:color="auto"/>
      </w:divBdr>
    </w:div>
    <w:div w:id="520823400">
      <w:bodyDiv w:val="1"/>
      <w:marLeft w:val="0"/>
      <w:marRight w:val="0"/>
      <w:marTop w:val="0"/>
      <w:marBottom w:val="0"/>
      <w:divBdr>
        <w:top w:val="none" w:sz="0" w:space="0" w:color="auto"/>
        <w:left w:val="none" w:sz="0" w:space="0" w:color="auto"/>
        <w:bottom w:val="none" w:sz="0" w:space="0" w:color="auto"/>
        <w:right w:val="none" w:sz="0" w:space="0" w:color="auto"/>
      </w:divBdr>
    </w:div>
    <w:div w:id="527448081">
      <w:bodyDiv w:val="1"/>
      <w:marLeft w:val="0"/>
      <w:marRight w:val="0"/>
      <w:marTop w:val="0"/>
      <w:marBottom w:val="0"/>
      <w:divBdr>
        <w:top w:val="none" w:sz="0" w:space="0" w:color="auto"/>
        <w:left w:val="none" w:sz="0" w:space="0" w:color="auto"/>
        <w:bottom w:val="none" w:sz="0" w:space="0" w:color="auto"/>
        <w:right w:val="none" w:sz="0" w:space="0" w:color="auto"/>
      </w:divBdr>
    </w:div>
    <w:div w:id="750657203">
      <w:bodyDiv w:val="1"/>
      <w:marLeft w:val="0"/>
      <w:marRight w:val="0"/>
      <w:marTop w:val="0"/>
      <w:marBottom w:val="0"/>
      <w:divBdr>
        <w:top w:val="none" w:sz="0" w:space="0" w:color="auto"/>
        <w:left w:val="none" w:sz="0" w:space="0" w:color="auto"/>
        <w:bottom w:val="none" w:sz="0" w:space="0" w:color="auto"/>
        <w:right w:val="none" w:sz="0" w:space="0" w:color="auto"/>
      </w:divBdr>
    </w:div>
    <w:div w:id="862093282">
      <w:bodyDiv w:val="1"/>
      <w:marLeft w:val="0"/>
      <w:marRight w:val="0"/>
      <w:marTop w:val="0"/>
      <w:marBottom w:val="0"/>
      <w:divBdr>
        <w:top w:val="none" w:sz="0" w:space="0" w:color="auto"/>
        <w:left w:val="none" w:sz="0" w:space="0" w:color="auto"/>
        <w:bottom w:val="none" w:sz="0" w:space="0" w:color="auto"/>
        <w:right w:val="none" w:sz="0" w:space="0" w:color="auto"/>
      </w:divBdr>
    </w:div>
    <w:div w:id="934824057">
      <w:bodyDiv w:val="1"/>
      <w:marLeft w:val="0"/>
      <w:marRight w:val="0"/>
      <w:marTop w:val="0"/>
      <w:marBottom w:val="0"/>
      <w:divBdr>
        <w:top w:val="none" w:sz="0" w:space="0" w:color="auto"/>
        <w:left w:val="none" w:sz="0" w:space="0" w:color="auto"/>
        <w:bottom w:val="none" w:sz="0" w:space="0" w:color="auto"/>
        <w:right w:val="none" w:sz="0" w:space="0" w:color="auto"/>
      </w:divBdr>
    </w:div>
    <w:div w:id="1142112503">
      <w:bodyDiv w:val="1"/>
      <w:marLeft w:val="0"/>
      <w:marRight w:val="0"/>
      <w:marTop w:val="0"/>
      <w:marBottom w:val="0"/>
      <w:divBdr>
        <w:top w:val="none" w:sz="0" w:space="0" w:color="auto"/>
        <w:left w:val="none" w:sz="0" w:space="0" w:color="auto"/>
        <w:bottom w:val="none" w:sz="0" w:space="0" w:color="auto"/>
        <w:right w:val="none" w:sz="0" w:space="0" w:color="auto"/>
      </w:divBdr>
    </w:div>
    <w:div w:id="1188638251">
      <w:bodyDiv w:val="1"/>
      <w:marLeft w:val="0"/>
      <w:marRight w:val="0"/>
      <w:marTop w:val="0"/>
      <w:marBottom w:val="0"/>
      <w:divBdr>
        <w:top w:val="none" w:sz="0" w:space="0" w:color="auto"/>
        <w:left w:val="none" w:sz="0" w:space="0" w:color="auto"/>
        <w:bottom w:val="none" w:sz="0" w:space="0" w:color="auto"/>
        <w:right w:val="none" w:sz="0" w:space="0" w:color="auto"/>
      </w:divBdr>
    </w:div>
    <w:div w:id="1368212713">
      <w:bodyDiv w:val="1"/>
      <w:marLeft w:val="0"/>
      <w:marRight w:val="0"/>
      <w:marTop w:val="0"/>
      <w:marBottom w:val="0"/>
      <w:divBdr>
        <w:top w:val="none" w:sz="0" w:space="0" w:color="auto"/>
        <w:left w:val="none" w:sz="0" w:space="0" w:color="auto"/>
        <w:bottom w:val="none" w:sz="0" w:space="0" w:color="auto"/>
        <w:right w:val="none" w:sz="0" w:space="0" w:color="auto"/>
      </w:divBdr>
    </w:div>
    <w:div w:id="1484464604">
      <w:bodyDiv w:val="1"/>
      <w:marLeft w:val="0"/>
      <w:marRight w:val="0"/>
      <w:marTop w:val="0"/>
      <w:marBottom w:val="0"/>
      <w:divBdr>
        <w:top w:val="none" w:sz="0" w:space="0" w:color="auto"/>
        <w:left w:val="none" w:sz="0" w:space="0" w:color="auto"/>
        <w:bottom w:val="none" w:sz="0" w:space="0" w:color="auto"/>
        <w:right w:val="none" w:sz="0" w:space="0" w:color="auto"/>
      </w:divBdr>
    </w:div>
    <w:div w:id="1485924733">
      <w:bodyDiv w:val="1"/>
      <w:marLeft w:val="0"/>
      <w:marRight w:val="0"/>
      <w:marTop w:val="0"/>
      <w:marBottom w:val="0"/>
      <w:divBdr>
        <w:top w:val="none" w:sz="0" w:space="0" w:color="auto"/>
        <w:left w:val="none" w:sz="0" w:space="0" w:color="auto"/>
        <w:bottom w:val="none" w:sz="0" w:space="0" w:color="auto"/>
        <w:right w:val="none" w:sz="0" w:space="0" w:color="auto"/>
      </w:divBdr>
    </w:div>
    <w:div w:id="1591617654">
      <w:bodyDiv w:val="1"/>
      <w:marLeft w:val="0"/>
      <w:marRight w:val="0"/>
      <w:marTop w:val="0"/>
      <w:marBottom w:val="0"/>
      <w:divBdr>
        <w:top w:val="none" w:sz="0" w:space="0" w:color="auto"/>
        <w:left w:val="none" w:sz="0" w:space="0" w:color="auto"/>
        <w:bottom w:val="none" w:sz="0" w:space="0" w:color="auto"/>
        <w:right w:val="none" w:sz="0" w:space="0" w:color="auto"/>
      </w:divBdr>
    </w:div>
    <w:div w:id="1601647404">
      <w:bodyDiv w:val="1"/>
      <w:marLeft w:val="0"/>
      <w:marRight w:val="0"/>
      <w:marTop w:val="0"/>
      <w:marBottom w:val="0"/>
      <w:divBdr>
        <w:top w:val="none" w:sz="0" w:space="0" w:color="auto"/>
        <w:left w:val="none" w:sz="0" w:space="0" w:color="auto"/>
        <w:bottom w:val="none" w:sz="0" w:space="0" w:color="auto"/>
        <w:right w:val="none" w:sz="0" w:space="0" w:color="auto"/>
      </w:divBdr>
    </w:div>
    <w:div w:id="1602571265">
      <w:bodyDiv w:val="1"/>
      <w:marLeft w:val="0"/>
      <w:marRight w:val="0"/>
      <w:marTop w:val="0"/>
      <w:marBottom w:val="0"/>
      <w:divBdr>
        <w:top w:val="none" w:sz="0" w:space="0" w:color="auto"/>
        <w:left w:val="none" w:sz="0" w:space="0" w:color="auto"/>
        <w:bottom w:val="none" w:sz="0" w:space="0" w:color="auto"/>
        <w:right w:val="none" w:sz="0" w:space="0" w:color="auto"/>
      </w:divBdr>
    </w:div>
    <w:div w:id="1759015133">
      <w:bodyDiv w:val="1"/>
      <w:marLeft w:val="0"/>
      <w:marRight w:val="0"/>
      <w:marTop w:val="0"/>
      <w:marBottom w:val="0"/>
      <w:divBdr>
        <w:top w:val="none" w:sz="0" w:space="0" w:color="auto"/>
        <w:left w:val="none" w:sz="0" w:space="0" w:color="auto"/>
        <w:bottom w:val="none" w:sz="0" w:space="0" w:color="auto"/>
        <w:right w:val="none" w:sz="0" w:space="0" w:color="auto"/>
      </w:divBdr>
    </w:div>
    <w:div w:id="1792551130">
      <w:bodyDiv w:val="1"/>
      <w:marLeft w:val="0"/>
      <w:marRight w:val="0"/>
      <w:marTop w:val="0"/>
      <w:marBottom w:val="0"/>
      <w:divBdr>
        <w:top w:val="none" w:sz="0" w:space="0" w:color="auto"/>
        <w:left w:val="none" w:sz="0" w:space="0" w:color="auto"/>
        <w:bottom w:val="none" w:sz="0" w:space="0" w:color="auto"/>
        <w:right w:val="none" w:sz="0" w:space="0" w:color="auto"/>
      </w:divBdr>
    </w:div>
    <w:div w:id="1801609505">
      <w:bodyDiv w:val="1"/>
      <w:marLeft w:val="0"/>
      <w:marRight w:val="0"/>
      <w:marTop w:val="0"/>
      <w:marBottom w:val="0"/>
      <w:divBdr>
        <w:top w:val="none" w:sz="0" w:space="0" w:color="auto"/>
        <w:left w:val="none" w:sz="0" w:space="0" w:color="auto"/>
        <w:bottom w:val="none" w:sz="0" w:space="0" w:color="auto"/>
        <w:right w:val="none" w:sz="0" w:space="0" w:color="auto"/>
      </w:divBdr>
    </w:div>
    <w:div w:id="1815829009">
      <w:bodyDiv w:val="1"/>
      <w:marLeft w:val="0"/>
      <w:marRight w:val="0"/>
      <w:marTop w:val="0"/>
      <w:marBottom w:val="0"/>
      <w:divBdr>
        <w:top w:val="none" w:sz="0" w:space="0" w:color="auto"/>
        <w:left w:val="none" w:sz="0" w:space="0" w:color="auto"/>
        <w:bottom w:val="none" w:sz="0" w:space="0" w:color="auto"/>
        <w:right w:val="none" w:sz="0" w:space="0" w:color="auto"/>
      </w:divBdr>
    </w:div>
    <w:div w:id="1854876448">
      <w:bodyDiv w:val="1"/>
      <w:marLeft w:val="0"/>
      <w:marRight w:val="0"/>
      <w:marTop w:val="0"/>
      <w:marBottom w:val="0"/>
      <w:divBdr>
        <w:top w:val="none" w:sz="0" w:space="0" w:color="auto"/>
        <w:left w:val="none" w:sz="0" w:space="0" w:color="auto"/>
        <w:bottom w:val="none" w:sz="0" w:space="0" w:color="auto"/>
        <w:right w:val="none" w:sz="0" w:space="0" w:color="auto"/>
      </w:divBdr>
      <w:divsChild>
        <w:div w:id="1818453559">
          <w:marLeft w:val="0"/>
          <w:marRight w:val="0"/>
          <w:marTop w:val="0"/>
          <w:marBottom w:val="300"/>
          <w:divBdr>
            <w:top w:val="none" w:sz="0" w:space="0" w:color="auto"/>
            <w:left w:val="none" w:sz="0" w:space="0" w:color="auto"/>
            <w:bottom w:val="none" w:sz="0" w:space="0" w:color="auto"/>
            <w:right w:val="none" w:sz="0" w:space="0" w:color="auto"/>
          </w:divBdr>
          <w:divsChild>
            <w:div w:id="1875730852">
              <w:marLeft w:val="0"/>
              <w:marRight w:val="0"/>
              <w:marTop w:val="0"/>
              <w:marBottom w:val="0"/>
              <w:divBdr>
                <w:top w:val="none" w:sz="0" w:space="0" w:color="auto"/>
                <w:left w:val="single" w:sz="6" w:space="1" w:color="FFFFFF"/>
                <w:bottom w:val="none" w:sz="0" w:space="0" w:color="auto"/>
                <w:right w:val="single" w:sz="6" w:space="1" w:color="FFFFFF"/>
              </w:divBdr>
              <w:divsChild>
                <w:div w:id="1245189848">
                  <w:marLeft w:val="0"/>
                  <w:marRight w:val="0"/>
                  <w:marTop w:val="0"/>
                  <w:marBottom w:val="0"/>
                  <w:divBdr>
                    <w:top w:val="none" w:sz="0" w:space="0" w:color="auto"/>
                    <w:left w:val="none" w:sz="0" w:space="0" w:color="auto"/>
                    <w:bottom w:val="none" w:sz="0" w:space="0" w:color="auto"/>
                    <w:right w:val="none" w:sz="0" w:space="0" w:color="auto"/>
                  </w:divBdr>
                  <w:divsChild>
                    <w:div w:id="655963789">
                      <w:marLeft w:val="0"/>
                      <w:marRight w:val="0"/>
                      <w:marTop w:val="0"/>
                      <w:marBottom w:val="0"/>
                      <w:divBdr>
                        <w:top w:val="none" w:sz="0" w:space="0" w:color="auto"/>
                        <w:left w:val="none" w:sz="0" w:space="0" w:color="auto"/>
                        <w:bottom w:val="none" w:sz="0" w:space="0" w:color="auto"/>
                        <w:right w:val="none" w:sz="0" w:space="0" w:color="auto"/>
                      </w:divBdr>
                      <w:divsChild>
                        <w:div w:id="2095278258">
                          <w:marLeft w:val="0"/>
                          <w:marRight w:val="0"/>
                          <w:marTop w:val="0"/>
                          <w:marBottom w:val="0"/>
                          <w:divBdr>
                            <w:top w:val="none" w:sz="0" w:space="0" w:color="auto"/>
                            <w:left w:val="none" w:sz="0" w:space="0" w:color="auto"/>
                            <w:bottom w:val="none" w:sz="0" w:space="0" w:color="auto"/>
                            <w:right w:val="none" w:sz="0" w:space="0" w:color="auto"/>
                          </w:divBdr>
                          <w:divsChild>
                            <w:div w:id="47581698">
                              <w:marLeft w:val="0"/>
                              <w:marRight w:val="0"/>
                              <w:marTop w:val="0"/>
                              <w:marBottom w:val="150"/>
                              <w:divBdr>
                                <w:top w:val="none" w:sz="0" w:space="0" w:color="auto"/>
                                <w:left w:val="none" w:sz="0" w:space="0" w:color="auto"/>
                                <w:bottom w:val="none" w:sz="0" w:space="0" w:color="auto"/>
                                <w:right w:val="none" w:sz="0" w:space="0" w:color="auto"/>
                              </w:divBdr>
                              <w:divsChild>
                                <w:div w:id="322392019">
                                  <w:marLeft w:val="0"/>
                                  <w:marRight w:val="0"/>
                                  <w:marTop w:val="0"/>
                                  <w:marBottom w:val="0"/>
                                  <w:divBdr>
                                    <w:top w:val="none" w:sz="0" w:space="0" w:color="auto"/>
                                    <w:left w:val="none" w:sz="0" w:space="0" w:color="auto"/>
                                    <w:bottom w:val="none" w:sz="0" w:space="0" w:color="auto"/>
                                    <w:right w:val="none" w:sz="0" w:space="0" w:color="auto"/>
                                  </w:divBdr>
                                  <w:divsChild>
                                    <w:div w:id="1685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207533">
      <w:bodyDiv w:val="1"/>
      <w:marLeft w:val="0"/>
      <w:marRight w:val="0"/>
      <w:marTop w:val="0"/>
      <w:marBottom w:val="0"/>
      <w:divBdr>
        <w:top w:val="none" w:sz="0" w:space="0" w:color="auto"/>
        <w:left w:val="none" w:sz="0" w:space="0" w:color="auto"/>
        <w:bottom w:val="none" w:sz="0" w:space="0" w:color="auto"/>
        <w:right w:val="none" w:sz="0" w:space="0" w:color="auto"/>
      </w:divBdr>
    </w:div>
    <w:div w:id="1864173196">
      <w:bodyDiv w:val="1"/>
      <w:marLeft w:val="0"/>
      <w:marRight w:val="0"/>
      <w:marTop w:val="0"/>
      <w:marBottom w:val="0"/>
      <w:divBdr>
        <w:top w:val="none" w:sz="0" w:space="0" w:color="auto"/>
        <w:left w:val="none" w:sz="0" w:space="0" w:color="auto"/>
        <w:bottom w:val="none" w:sz="0" w:space="0" w:color="auto"/>
        <w:right w:val="none" w:sz="0" w:space="0" w:color="auto"/>
      </w:divBdr>
    </w:div>
    <w:div w:id="1895434297">
      <w:bodyDiv w:val="1"/>
      <w:marLeft w:val="0"/>
      <w:marRight w:val="0"/>
      <w:marTop w:val="0"/>
      <w:marBottom w:val="0"/>
      <w:divBdr>
        <w:top w:val="none" w:sz="0" w:space="0" w:color="auto"/>
        <w:left w:val="none" w:sz="0" w:space="0" w:color="auto"/>
        <w:bottom w:val="none" w:sz="0" w:space="0" w:color="auto"/>
        <w:right w:val="none" w:sz="0" w:space="0" w:color="auto"/>
      </w:divBdr>
    </w:div>
    <w:div w:id="1918250167">
      <w:bodyDiv w:val="1"/>
      <w:marLeft w:val="0"/>
      <w:marRight w:val="0"/>
      <w:marTop w:val="0"/>
      <w:marBottom w:val="0"/>
      <w:divBdr>
        <w:top w:val="none" w:sz="0" w:space="0" w:color="auto"/>
        <w:left w:val="none" w:sz="0" w:space="0" w:color="auto"/>
        <w:bottom w:val="none" w:sz="0" w:space="0" w:color="auto"/>
        <w:right w:val="none" w:sz="0" w:space="0" w:color="auto"/>
      </w:divBdr>
    </w:div>
    <w:div w:id="1927957931">
      <w:bodyDiv w:val="1"/>
      <w:marLeft w:val="0"/>
      <w:marRight w:val="0"/>
      <w:marTop w:val="0"/>
      <w:marBottom w:val="0"/>
      <w:divBdr>
        <w:top w:val="none" w:sz="0" w:space="0" w:color="auto"/>
        <w:left w:val="none" w:sz="0" w:space="0" w:color="auto"/>
        <w:bottom w:val="none" w:sz="0" w:space="0" w:color="auto"/>
        <w:right w:val="none" w:sz="0" w:space="0" w:color="auto"/>
      </w:divBdr>
    </w:div>
    <w:div w:id="1968002587">
      <w:bodyDiv w:val="1"/>
      <w:marLeft w:val="0"/>
      <w:marRight w:val="0"/>
      <w:marTop w:val="0"/>
      <w:marBottom w:val="0"/>
      <w:divBdr>
        <w:top w:val="none" w:sz="0" w:space="0" w:color="auto"/>
        <w:left w:val="none" w:sz="0" w:space="0" w:color="auto"/>
        <w:bottom w:val="none" w:sz="0" w:space="0" w:color="auto"/>
        <w:right w:val="none" w:sz="0" w:space="0" w:color="auto"/>
      </w:divBdr>
    </w:div>
    <w:div w:id="1975014713">
      <w:bodyDiv w:val="1"/>
      <w:marLeft w:val="0"/>
      <w:marRight w:val="0"/>
      <w:marTop w:val="0"/>
      <w:marBottom w:val="0"/>
      <w:divBdr>
        <w:top w:val="none" w:sz="0" w:space="0" w:color="auto"/>
        <w:left w:val="none" w:sz="0" w:space="0" w:color="auto"/>
        <w:bottom w:val="none" w:sz="0" w:space="0" w:color="auto"/>
        <w:right w:val="none" w:sz="0" w:space="0" w:color="auto"/>
      </w:divBdr>
    </w:div>
    <w:div w:id="2005622309">
      <w:bodyDiv w:val="1"/>
      <w:marLeft w:val="0"/>
      <w:marRight w:val="0"/>
      <w:marTop w:val="0"/>
      <w:marBottom w:val="0"/>
      <w:divBdr>
        <w:top w:val="none" w:sz="0" w:space="0" w:color="auto"/>
        <w:left w:val="none" w:sz="0" w:space="0" w:color="auto"/>
        <w:bottom w:val="none" w:sz="0" w:space="0" w:color="auto"/>
        <w:right w:val="none" w:sz="0" w:space="0" w:color="auto"/>
      </w:divBdr>
    </w:div>
    <w:div w:id="2076468494">
      <w:bodyDiv w:val="1"/>
      <w:marLeft w:val="0"/>
      <w:marRight w:val="0"/>
      <w:marTop w:val="0"/>
      <w:marBottom w:val="0"/>
      <w:divBdr>
        <w:top w:val="none" w:sz="0" w:space="0" w:color="auto"/>
        <w:left w:val="none" w:sz="0" w:space="0" w:color="auto"/>
        <w:bottom w:val="none" w:sz="0" w:space="0" w:color="auto"/>
        <w:right w:val="none" w:sz="0" w:space="0" w:color="auto"/>
      </w:divBdr>
      <w:divsChild>
        <w:div w:id="172033087">
          <w:marLeft w:val="0"/>
          <w:marRight w:val="0"/>
          <w:marTop w:val="0"/>
          <w:marBottom w:val="300"/>
          <w:divBdr>
            <w:top w:val="none" w:sz="0" w:space="0" w:color="auto"/>
            <w:left w:val="none" w:sz="0" w:space="0" w:color="auto"/>
            <w:bottom w:val="none" w:sz="0" w:space="0" w:color="auto"/>
            <w:right w:val="none" w:sz="0" w:space="0" w:color="auto"/>
          </w:divBdr>
          <w:divsChild>
            <w:div w:id="577129334">
              <w:marLeft w:val="0"/>
              <w:marRight w:val="0"/>
              <w:marTop w:val="0"/>
              <w:marBottom w:val="0"/>
              <w:divBdr>
                <w:top w:val="none" w:sz="0" w:space="0" w:color="auto"/>
                <w:left w:val="single" w:sz="6" w:space="1" w:color="FFFFFF"/>
                <w:bottom w:val="none" w:sz="0" w:space="0" w:color="auto"/>
                <w:right w:val="single" w:sz="6" w:space="1" w:color="FFFFFF"/>
              </w:divBdr>
              <w:divsChild>
                <w:div w:id="1057509676">
                  <w:marLeft w:val="0"/>
                  <w:marRight w:val="0"/>
                  <w:marTop w:val="0"/>
                  <w:marBottom w:val="0"/>
                  <w:divBdr>
                    <w:top w:val="none" w:sz="0" w:space="0" w:color="auto"/>
                    <w:left w:val="none" w:sz="0" w:space="0" w:color="auto"/>
                    <w:bottom w:val="none" w:sz="0" w:space="0" w:color="auto"/>
                    <w:right w:val="none" w:sz="0" w:space="0" w:color="auto"/>
                  </w:divBdr>
                  <w:divsChild>
                    <w:div w:id="1556502212">
                      <w:marLeft w:val="0"/>
                      <w:marRight w:val="0"/>
                      <w:marTop w:val="0"/>
                      <w:marBottom w:val="0"/>
                      <w:divBdr>
                        <w:top w:val="none" w:sz="0" w:space="0" w:color="auto"/>
                        <w:left w:val="none" w:sz="0" w:space="0" w:color="auto"/>
                        <w:bottom w:val="none" w:sz="0" w:space="0" w:color="auto"/>
                        <w:right w:val="none" w:sz="0" w:space="0" w:color="auto"/>
                      </w:divBdr>
                      <w:divsChild>
                        <w:div w:id="602302981">
                          <w:marLeft w:val="0"/>
                          <w:marRight w:val="0"/>
                          <w:marTop w:val="0"/>
                          <w:marBottom w:val="0"/>
                          <w:divBdr>
                            <w:top w:val="none" w:sz="0" w:space="0" w:color="auto"/>
                            <w:left w:val="none" w:sz="0" w:space="0" w:color="auto"/>
                            <w:bottom w:val="none" w:sz="0" w:space="0" w:color="auto"/>
                            <w:right w:val="none" w:sz="0" w:space="0" w:color="auto"/>
                          </w:divBdr>
                          <w:divsChild>
                            <w:div w:id="758991024">
                              <w:marLeft w:val="0"/>
                              <w:marRight w:val="0"/>
                              <w:marTop w:val="0"/>
                              <w:marBottom w:val="0"/>
                              <w:divBdr>
                                <w:top w:val="none" w:sz="0" w:space="0" w:color="auto"/>
                                <w:left w:val="none" w:sz="0" w:space="0" w:color="auto"/>
                                <w:bottom w:val="none" w:sz="0" w:space="0" w:color="auto"/>
                                <w:right w:val="none" w:sz="0" w:space="0" w:color="auto"/>
                              </w:divBdr>
                              <w:divsChild>
                                <w:div w:id="2125535942">
                                  <w:marLeft w:val="0"/>
                                  <w:marRight w:val="0"/>
                                  <w:marTop w:val="0"/>
                                  <w:marBottom w:val="0"/>
                                  <w:divBdr>
                                    <w:top w:val="none" w:sz="0" w:space="0" w:color="auto"/>
                                    <w:left w:val="none" w:sz="0" w:space="0" w:color="auto"/>
                                    <w:bottom w:val="none" w:sz="0" w:space="0" w:color="auto"/>
                                    <w:right w:val="none" w:sz="0" w:space="0" w:color="auto"/>
                                  </w:divBdr>
                                  <w:divsChild>
                                    <w:div w:id="12355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8297">
      <w:bodyDiv w:val="1"/>
      <w:marLeft w:val="0"/>
      <w:marRight w:val="0"/>
      <w:marTop w:val="0"/>
      <w:marBottom w:val="0"/>
      <w:divBdr>
        <w:top w:val="none" w:sz="0" w:space="0" w:color="auto"/>
        <w:left w:val="none" w:sz="0" w:space="0" w:color="auto"/>
        <w:bottom w:val="none" w:sz="0" w:space="0" w:color="auto"/>
        <w:right w:val="none" w:sz="0" w:space="0" w:color="auto"/>
      </w:divBdr>
    </w:div>
    <w:div w:id="2106923594">
      <w:bodyDiv w:val="1"/>
      <w:marLeft w:val="0"/>
      <w:marRight w:val="0"/>
      <w:marTop w:val="0"/>
      <w:marBottom w:val="0"/>
      <w:divBdr>
        <w:top w:val="none" w:sz="0" w:space="0" w:color="auto"/>
        <w:left w:val="none" w:sz="0" w:space="0" w:color="auto"/>
        <w:bottom w:val="none" w:sz="0" w:space="0" w:color="auto"/>
        <w:right w:val="none" w:sz="0" w:space="0" w:color="auto"/>
      </w:divBdr>
      <w:divsChild>
        <w:div w:id="1987124113">
          <w:marLeft w:val="274"/>
          <w:marRight w:val="0"/>
          <w:marTop w:val="0"/>
          <w:marBottom w:val="0"/>
          <w:divBdr>
            <w:top w:val="none" w:sz="0" w:space="0" w:color="auto"/>
            <w:left w:val="none" w:sz="0" w:space="0" w:color="auto"/>
            <w:bottom w:val="none" w:sz="0" w:space="0" w:color="auto"/>
            <w:right w:val="none" w:sz="0" w:space="0" w:color="auto"/>
          </w:divBdr>
        </w:div>
        <w:div w:id="198668369">
          <w:marLeft w:val="274"/>
          <w:marRight w:val="0"/>
          <w:marTop w:val="0"/>
          <w:marBottom w:val="0"/>
          <w:divBdr>
            <w:top w:val="none" w:sz="0" w:space="0" w:color="auto"/>
            <w:left w:val="none" w:sz="0" w:space="0" w:color="auto"/>
            <w:bottom w:val="none" w:sz="0" w:space="0" w:color="auto"/>
            <w:right w:val="none" w:sz="0" w:space="0" w:color="auto"/>
          </w:divBdr>
        </w:div>
        <w:div w:id="8953152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fm.dk/faelles-konto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st.dk/oeav/5-kontoplan/statens-kontoplan-201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elleskontoplan@ufm.d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7248\appdata\roaming\microsoft\templates\WordEngineTemplates\Publikation\Publikation.dotm" TargetMode="External"/></Relationships>
</file>

<file path=word/theme/theme1.xml><?xml version="1.0" encoding="utf-8"?>
<a:theme xmlns:a="http://schemas.openxmlformats.org/drawingml/2006/main" name="Office Theme">
  <a:themeElements>
    <a:clrScheme name="UFM Word">
      <a:dk1>
        <a:srgbClr val="888888"/>
      </a:dk1>
      <a:lt1>
        <a:sysClr val="window" lastClr="FFFFFF"/>
      </a:lt1>
      <a:dk2>
        <a:srgbClr val="464646"/>
      </a:dk2>
      <a:lt2>
        <a:srgbClr val="D2D2D2"/>
      </a:lt2>
      <a:accent1>
        <a:srgbClr val="888888"/>
      </a:accent1>
      <a:accent2>
        <a:srgbClr val="A5027D"/>
      </a:accent2>
      <a:accent3>
        <a:srgbClr val="17124D"/>
      </a:accent3>
      <a:accent4>
        <a:srgbClr val="E6821E"/>
      </a:accent4>
      <a:accent5>
        <a:srgbClr val="009037"/>
      </a:accent5>
      <a:accent6>
        <a:srgbClr val="9586B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97C2-E8D4-4399-B624-B298D81A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Publikation.dotm</Template>
  <TotalTime>50</TotalTime>
  <Pages>29</Pages>
  <Words>6961</Words>
  <Characters>49151</Characters>
  <Application>Microsoft Office Word</Application>
  <DocSecurity>0</DocSecurity>
  <Lines>1023</Lines>
  <Paragraphs>514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Publikation</vt:lpstr>
      <vt:lpstr>Publikation</vt:lpstr>
    </vt:vector>
  </TitlesOfParts>
  <Company>Statens IT</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dc:title>
  <dc:creator>Anders Christian Lauger</dc:creator>
  <cp:lastModifiedBy>Karen Kolbye</cp:lastModifiedBy>
  <cp:revision>10</cp:revision>
  <cp:lastPrinted>2019-07-02T07:20:00Z</cp:lastPrinted>
  <dcterms:created xsi:type="dcterms:W3CDTF">2019-09-11T14:11:00Z</dcterms:created>
  <dcterms:modified xsi:type="dcterms:W3CDTF">2019-09-13T13:23:00Z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Publikation</vt:lpwstr>
  </property>
  <property fmtid="{D5CDD505-2E9C-101B-9397-08002B2CF9AE}" pid="6" name="SD_DocumentLanguageString">
    <vt:lpwstr>Dansk (Danmark)</vt:lpwstr>
  </property>
  <property fmtid="{D5CDD505-2E9C-101B-9397-08002B2CF9AE}" pid="7" name="SD_CtlText_Usersettings_Userprofile">
    <vt:lpwstr>Anders Christian Lauger</vt:lpwstr>
  </property>
  <property fmtid="{D5CDD505-2E9C-101B-9397-08002B2CF9AE}" pid="8" name="SD_CtlText_General_PubTitle">
    <vt:lpwstr/>
  </property>
  <property fmtid="{D5CDD505-2E9C-101B-9397-08002B2CF9AE}" pid="9" name="SD_UserprofileName">
    <vt:lpwstr>Anders Christian Lauger</vt:lpwstr>
  </property>
  <property fmtid="{D5CDD505-2E9C-101B-9397-08002B2CF9AE}" pid="10" name="SD_Office_SD_OFF_ID">
    <vt:lpwstr>30</vt:lpwstr>
  </property>
  <property fmtid="{D5CDD505-2E9C-101B-9397-08002B2CF9AE}" pid="11" name="SD_Office_SD_OFF_Display">
    <vt:lpwstr>UDS - Styrelsen for Videregående Uddannelser</vt:lpwstr>
  </property>
  <property fmtid="{D5CDD505-2E9C-101B-9397-08002B2CF9AE}" pid="12" name="SD_Office_SD_OFF_Myndighed">
    <vt:lpwstr>Styrelsen for Videregående Uddannelser</vt:lpwstr>
  </property>
  <property fmtid="{D5CDD505-2E9C-101B-9397-08002B2CF9AE}" pid="13" name="SD_Office_SD_OFF_Undermyndighed">
    <vt:lpwstr/>
  </property>
  <property fmtid="{D5CDD505-2E9C-101B-9397-08002B2CF9AE}" pid="14" name="SD_Office_SD_OFF_Myndighed_EN">
    <vt:lpwstr>Danish Agency for Higher Education</vt:lpwstr>
  </property>
  <property fmtid="{D5CDD505-2E9C-101B-9397-08002B2CF9AE}" pid="15" name="SD_Office_SD_OFF_Undermyndighed_EN">
    <vt:lpwstr/>
  </property>
  <property fmtid="{D5CDD505-2E9C-101B-9397-08002B2CF9AE}" pid="16" name="SD_Office_SD_OFF_Address">
    <vt:lpwstr>Bredgade 43*1260 København K</vt:lpwstr>
  </property>
  <property fmtid="{D5CDD505-2E9C-101B-9397-08002B2CF9AE}" pid="17" name="SD_Office_SD_OFF_Address_EN">
    <vt:lpwstr>Bredgade 43*1260 Copenhagen K*Denmark</vt:lpwstr>
  </property>
  <property fmtid="{D5CDD505-2E9C-101B-9397-08002B2CF9AE}" pid="18" name="SD_Office_SD_OFF_Phone">
    <vt:lpwstr>7231 7800</vt:lpwstr>
  </property>
  <property fmtid="{D5CDD505-2E9C-101B-9397-08002B2CF9AE}" pid="19" name="SD_Office_SD_OFF_Fax">
    <vt:lpwstr>7231 7801</vt:lpwstr>
  </property>
  <property fmtid="{D5CDD505-2E9C-101B-9397-08002B2CF9AE}" pid="20" name="SD_Office_SD_OFF_Phone_EN">
    <vt:lpwstr>+45 7231 7800</vt:lpwstr>
  </property>
  <property fmtid="{D5CDD505-2E9C-101B-9397-08002B2CF9AE}" pid="21" name="SD_Office_SD_OFF_Fax_EN">
    <vt:lpwstr>+45 7231 7801</vt:lpwstr>
  </property>
  <property fmtid="{D5CDD505-2E9C-101B-9397-08002B2CF9AE}" pid="22" name="SD_Office_SD_OFF_Email">
    <vt:lpwstr>uds@uds.dk</vt:lpwstr>
  </property>
  <property fmtid="{D5CDD505-2E9C-101B-9397-08002B2CF9AE}" pid="23" name="SD_Office_SD_OFF_Web">
    <vt:lpwstr>www.ufm.dk</vt:lpwstr>
  </property>
  <property fmtid="{D5CDD505-2E9C-101B-9397-08002B2CF9AE}" pid="24" name="SD_Office_SD_OFF_Web_EN">
    <vt:lpwstr>www.ufm.dk/en</vt:lpwstr>
  </property>
  <property fmtid="{D5CDD505-2E9C-101B-9397-08002B2CF9AE}" pid="25" name="SD_Office_SD_OFF_CVR">
    <vt:lpwstr>3404 2012</vt:lpwstr>
  </property>
  <property fmtid="{D5CDD505-2E9C-101B-9397-08002B2CF9AE}" pid="26" name="SD_Office_SD_OFF_ImageDefinition">
    <vt:lpwstr>LogoFIVU</vt:lpwstr>
  </property>
  <property fmtid="{D5CDD505-2E9C-101B-9397-08002B2CF9AE}" pid="27" name="SD_Office_SD_OFF_LogoName">
    <vt:lpwstr>UDS</vt:lpwstr>
  </property>
  <property fmtid="{D5CDD505-2E9C-101B-9397-08002B2CF9AE}" pid="28" name="SD_USR_Kontornavn">
    <vt:lpwstr>Institutionsstyring og Intern Økonomi</vt:lpwstr>
  </property>
  <property fmtid="{D5CDD505-2E9C-101B-9397-08002B2CF9AE}" pid="29" name="SD_USR_Name">
    <vt:lpwstr>Anders Christian Lauger</vt:lpwstr>
  </property>
  <property fmtid="{D5CDD505-2E9C-101B-9397-08002B2CF9AE}" pid="30" name="SD_USR_Title">
    <vt:lpwstr>Chefkonsulent</vt:lpwstr>
  </property>
  <property fmtid="{D5CDD505-2E9C-101B-9397-08002B2CF9AE}" pid="31" name="SD_USR_DirectPhone">
    <vt:lpwstr>72318577</vt:lpwstr>
  </property>
  <property fmtid="{D5CDD505-2E9C-101B-9397-08002B2CF9AE}" pid="32" name="SD_USR_Mobile">
    <vt:lpwstr/>
  </property>
  <property fmtid="{D5CDD505-2E9C-101B-9397-08002B2CF9AE}" pid="33" name="SD_USR_Email">
    <vt:lpwstr>andl@uds.dk</vt:lpwstr>
  </property>
  <property fmtid="{D5CDD505-2E9C-101B-9397-08002B2CF9AE}" pid="34" name="DocumentInfoFinished">
    <vt:lpwstr>True</vt:lpwstr>
  </property>
  <property fmtid="{D5CDD505-2E9C-101B-9397-08002B2CF9AE}" pid="35" name="SD_DocumentLanguage">
    <vt:lpwstr>da-DK</vt:lpwstr>
  </property>
  <property fmtid="{D5CDD505-2E9C-101B-9397-08002B2CF9AE}" pid="36" name="sdDocumentDate">
    <vt:lpwstr>42472</vt:lpwstr>
  </property>
  <property fmtid="{D5CDD505-2E9C-101B-9397-08002B2CF9AE}" pid="37" name="sdDocumentDateFormat">
    <vt:lpwstr>da-DK:d. MMMM yyyy</vt:lpwstr>
  </property>
  <property fmtid="{D5CDD505-2E9C-101B-9397-08002B2CF9AE}" pid="38" name="ContentRemapped">
    <vt:lpwstr>true</vt:lpwstr>
  </property>
</Properties>
</file>